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footer5.xml" ContentType="application/vnd.openxmlformats-officedocument.wordprocessingml.foot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6.xml" ContentType="application/vnd.openxmlformats-officedocument.wordprocessingml.footer+xml"/>
  <Override PartName="/word/endnotes.xml" ContentType="application/vnd.openxmlformats-officedocument.wordprocessingml.endnotes+xml"/>
  <Override PartName="/word/footer8.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charts/chart8.xml" ContentType="application/vnd.openxmlformats-officedocument.drawingml.chart+xml"/>
  <Override PartName="/word/theme/theme1.xml" ContentType="application/vnd.openxmlformats-officedocument.theme+xml"/>
  <Override PartName="/word/charts/chart9.xml" ContentType="application/vnd.openxmlformats-officedocument.drawingml.chart+xml"/>
  <Override PartName="/word/charts/chart5.xml" ContentType="application/vnd.openxmlformats-officedocument.drawingml.chart+xml"/>
  <Override PartName="/word/charts/chart1.xml" ContentType="application/vnd.openxmlformats-officedocument.drawingml.chart+xml"/>
  <Override PartName="/word/charts/chart7.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6.xml" ContentType="application/vnd.openxmlformats-officedocument.drawingml.chart+xml"/>
  <Override PartName="/word/charts/chart4.xml" ContentType="application/vnd.openxmlformats-officedocument.drawingml.chart+xml"/>
  <Override PartName="/word/settings.xml" ContentType="application/vnd.openxmlformats-officedocument.wordprocessingml.settings+xml"/>
  <Override PartName="/customXml/itemProps2.xml" ContentType="application/vnd.openxmlformats-officedocument.customXmlPropertie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338E03" w14:textId="77777777" w:rsidR="00070D19" w:rsidRPr="00A33A28" w:rsidRDefault="00070D19" w:rsidP="00070D19">
      <w:pPr>
        <w:spacing w:after="0" w:line="240" w:lineRule="auto"/>
        <w:jc w:val="center"/>
        <w:rPr>
          <w:rFonts w:ascii="Times New Roman" w:eastAsia="Times New Roman" w:hAnsi="Times New Roman" w:cs="Times New Roman"/>
          <w:b/>
          <w:sz w:val="28"/>
          <w:szCs w:val="28"/>
          <w:lang w:eastAsia="sk-SK"/>
        </w:rPr>
      </w:pPr>
      <w:r w:rsidRPr="00A33A28">
        <w:rPr>
          <w:rFonts w:ascii="Times New Roman" w:eastAsia="Times New Roman" w:hAnsi="Times New Roman" w:cs="Times New Roman"/>
          <w:b/>
          <w:sz w:val="28"/>
          <w:szCs w:val="28"/>
          <w:lang w:eastAsia="sk-SK"/>
        </w:rPr>
        <w:t xml:space="preserve">Správa o stave podnikateľského prostredia v Slovenskej republike </w:t>
      </w:r>
    </w:p>
    <w:p w14:paraId="27DBF7C3" w14:textId="77777777" w:rsidR="00070D19" w:rsidRPr="00A33A28" w:rsidRDefault="00070D19" w:rsidP="00070D19">
      <w:pPr>
        <w:spacing w:after="0" w:line="240" w:lineRule="auto"/>
        <w:jc w:val="center"/>
        <w:rPr>
          <w:rFonts w:ascii="Times New Roman" w:hAnsi="Times New Roman" w:cs="Times New Roman"/>
          <w:sz w:val="24"/>
          <w:szCs w:val="24"/>
        </w:rPr>
      </w:pPr>
    </w:p>
    <w:p w14:paraId="3CBCB241" w14:textId="77777777" w:rsidR="00070D19" w:rsidRPr="00A33A28" w:rsidRDefault="00070D19" w:rsidP="00070D19">
      <w:pPr>
        <w:spacing w:after="0" w:line="240" w:lineRule="auto"/>
        <w:jc w:val="both"/>
        <w:rPr>
          <w:rFonts w:ascii="Times New Roman" w:hAnsi="Times New Roman" w:cs="Times New Roman"/>
          <w:b/>
          <w:sz w:val="24"/>
          <w:szCs w:val="24"/>
        </w:rPr>
      </w:pPr>
      <w:r w:rsidRPr="00A33A28">
        <w:rPr>
          <w:rFonts w:ascii="Times New Roman" w:hAnsi="Times New Roman" w:cs="Times New Roman"/>
          <w:b/>
          <w:sz w:val="24"/>
          <w:szCs w:val="24"/>
        </w:rPr>
        <w:t>Obsah</w:t>
      </w:r>
    </w:p>
    <w:p w14:paraId="2E0F4D38" w14:textId="77777777" w:rsidR="00070D19" w:rsidRPr="00A33A28" w:rsidRDefault="00070D19" w:rsidP="00070D19">
      <w:pPr>
        <w:spacing w:after="0" w:line="240" w:lineRule="auto"/>
        <w:jc w:val="both"/>
        <w:rPr>
          <w:rFonts w:ascii="Times New Roman" w:hAnsi="Times New Roman" w:cs="Times New Roman"/>
          <w:b/>
          <w:sz w:val="24"/>
          <w:szCs w:val="24"/>
        </w:rPr>
      </w:pPr>
    </w:p>
    <w:tbl>
      <w:tblPr>
        <w:tblStyle w:val="Mriekatabuky"/>
        <w:tblW w:w="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185"/>
        <w:gridCol w:w="567"/>
      </w:tblGrid>
      <w:tr w:rsidR="00506C08" w14:paraId="005A79A3" w14:textId="77777777" w:rsidTr="00AA1377">
        <w:tc>
          <w:tcPr>
            <w:tcW w:w="9185" w:type="dxa"/>
            <w:hideMark/>
          </w:tcPr>
          <w:p w14:paraId="0F4336D5" w14:textId="77777777" w:rsidR="00506C08" w:rsidRDefault="00506C08">
            <w:pPr>
              <w:pStyle w:val="Odsekzoznamu"/>
              <w:ind w:left="502"/>
              <w:rPr>
                <w:rFonts w:ascii="Times New Roman" w:hAnsi="Times New Roman" w:cs="Times New Roman"/>
                <w:sz w:val="24"/>
                <w:szCs w:val="24"/>
              </w:rPr>
            </w:pPr>
            <w:r>
              <w:rPr>
                <w:rFonts w:ascii="Times New Roman" w:hAnsi="Times New Roman" w:cs="Times New Roman"/>
                <w:sz w:val="24"/>
                <w:szCs w:val="24"/>
              </w:rPr>
              <w:t xml:space="preserve">Zoznam skratiek </w:t>
            </w:r>
          </w:p>
        </w:tc>
        <w:tc>
          <w:tcPr>
            <w:tcW w:w="567" w:type="dxa"/>
          </w:tcPr>
          <w:p w14:paraId="209B495F" w14:textId="77777777" w:rsidR="00506C08" w:rsidRDefault="00506C08">
            <w:pPr>
              <w:pStyle w:val="Odsekzoznamu"/>
              <w:tabs>
                <w:tab w:val="left" w:pos="86"/>
              </w:tabs>
              <w:ind w:left="34"/>
              <w:jc w:val="left"/>
              <w:rPr>
                <w:rFonts w:ascii="Times New Roman" w:hAnsi="Times New Roman" w:cs="Times New Roman"/>
                <w:sz w:val="24"/>
                <w:szCs w:val="24"/>
              </w:rPr>
            </w:pPr>
          </w:p>
        </w:tc>
      </w:tr>
      <w:tr w:rsidR="00506C08" w14:paraId="1859A781" w14:textId="77777777" w:rsidTr="00AA1377">
        <w:tc>
          <w:tcPr>
            <w:tcW w:w="9185" w:type="dxa"/>
            <w:hideMark/>
          </w:tcPr>
          <w:p w14:paraId="29F91791" w14:textId="77777777" w:rsidR="00506C08" w:rsidRDefault="00506C08">
            <w:pPr>
              <w:pStyle w:val="Odsekzoznamu"/>
              <w:ind w:left="502"/>
              <w:rPr>
                <w:rFonts w:ascii="Times New Roman" w:hAnsi="Times New Roman" w:cs="Times New Roman"/>
                <w:sz w:val="24"/>
                <w:szCs w:val="24"/>
              </w:rPr>
            </w:pPr>
            <w:r>
              <w:rPr>
                <w:rFonts w:ascii="Times New Roman" w:hAnsi="Times New Roman" w:cs="Times New Roman"/>
                <w:sz w:val="24"/>
                <w:szCs w:val="24"/>
              </w:rPr>
              <w:t xml:space="preserve">Úvod  </w:t>
            </w:r>
          </w:p>
        </w:tc>
        <w:tc>
          <w:tcPr>
            <w:tcW w:w="567" w:type="dxa"/>
          </w:tcPr>
          <w:p w14:paraId="5409D5BD" w14:textId="77777777" w:rsidR="00506C08" w:rsidRDefault="00506C08">
            <w:pPr>
              <w:pStyle w:val="Odsekzoznamu"/>
              <w:tabs>
                <w:tab w:val="left" w:pos="86"/>
              </w:tabs>
              <w:ind w:left="34"/>
              <w:jc w:val="left"/>
              <w:rPr>
                <w:rFonts w:ascii="Times New Roman" w:hAnsi="Times New Roman" w:cs="Times New Roman"/>
                <w:sz w:val="24"/>
                <w:szCs w:val="24"/>
              </w:rPr>
            </w:pPr>
          </w:p>
        </w:tc>
      </w:tr>
      <w:tr w:rsidR="00506C08" w14:paraId="5F69B575" w14:textId="77777777" w:rsidTr="00AA1377">
        <w:tc>
          <w:tcPr>
            <w:tcW w:w="9185" w:type="dxa"/>
            <w:hideMark/>
          </w:tcPr>
          <w:p w14:paraId="427BAC4C" w14:textId="77777777" w:rsidR="00506C08" w:rsidRDefault="00506C08" w:rsidP="00506C08">
            <w:pPr>
              <w:pStyle w:val="Odsekzoznamu"/>
              <w:numPr>
                <w:ilvl w:val="0"/>
                <w:numId w:val="10"/>
              </w:numPr>
              <w:ind w:left="738"/>
              <w:rPr>
                <w:rFonts w:ascii="Times New Roman" w:hAnsi="Times New Roman" w:cs="Times New Roman"/>
                <w:sz w:val="24"/>
                <w:szCs w:val="24"/>
              </w:rPr>
            </w:pPr>
            <w:r>
              <w:rPr>
                <w:rFonts w:ascii="Times New Roman" w:hAnsi="Times New Roman" w:cs="Times New Roman"/>
                <w:sz w:val="24"/>
                <w:szCs w:val="24"/>
              </w:rPr>
              <w:t>Hlavné ukazovatele vývoja podnikateľského prostredia</w:t>
            </w:r>
          </w:p>
        </w:tc>
        <w:tc>
          <w:tcPr>
            <w:tcW w:w="567" w:type="dxa"/>
            <w:hideMark/>
          </w:tcPr>
          <w:p w14:paraId="1D8DAE70" w14:textId="77777777" w:rsidR="00506C08" w:rsidRDefault="00506C08">
            <w:pPr>
              <w:ind w:left="34"/>
              <w:jc w:val="left"/>
              <w:rPr>
                <w:rFonts w:ascii="Times New Roman" w:hAnsi="Times New Roman" w:cs="Times New Roman"/>
                <w:sz w:val="24"/>
                <w:szCs w:val="24"/>
              </w:rPr>
            </w:pPr>
            <w:r>
              <w:rPr>
                <w:rFonts w:ascii="Times New Roman" w:hAnsi="Times New Roman" w:cs="Times New Roman"/>
                <w:sz w:val="24"/>
                <w:szCs w:val="24"/>
              </w:rPr>
              <w:t>1</w:t>
            </w:r>
          </w:p>
        </w:tc>
      </w:tr>
      <w:tr w:rsidR="00506C08" w14:paraId="282A4F6B" w14:textId="77777777" w:rsidTr="00AA1377">
        <w:tc>
          <w:tcPr>
            <w:tcW w:w="9185" w:type="dxa"/>
            <w:hideMark/>
          </w:tcPr>
          <w:p w14:paraId="7563413D" w14:textId="77777777" w:rsidR="00506C08" w:rsidRDefault="00506C08">
            <w:pPr>
              <w:pStyle w:val="Odsekzoznamu"/>
              <w:tabs>
                <w:tab w:val="left" w:pos="1134"/>
              </w:tabs>
              <w:ind w:left="1560" w:hanging="851"/>
              <w:rPr>
                <w:rFonts w:ascii="Times New Roman" w:hAnsi="Times New Roman" w:cs="Times New Roman"/>
                <w:sz w:val="24"/>
                <w:szCs w:val="24"/>
              </w:rPr>
            </w:pPr>
            <w:r>
              <w:rPr>
                <w:rFonts w:ascii="Times New Roman" w:hAnsi="Times New Roman" w:cs="Times New Roman"/>
                <w:sz w:val="24"/>
                <w:szCs w:val="24"/>
              </w:rPr>
              <w:t>1.1 Štruktúra podnikateľského prostredia</w:t>
            </w:r>
          </w:p>
        </w:tc>
        <w:tc>
          <w:tcPr>
            <w:tcW w:w="567" w:type="dxa"/>
            <w:hideMark/>
          </w:tcPr>
          <w:p w14:paraId="7BCAA509" w14:textId="77777777" w:rsidR="00506C08" w:rsidRDefault="00506C08">
            <w:pPr>
              <w:ind w:left="34"/>
              <w:rPr>
                <w:rFonts w:ascii="Times New Roman" w:hAnsi="Times New Roman" w:cs="Times New Roman"/>
                <w:sz w:val="24"/>
                <w:szCs w:val="24"/>
              </w:rPr>
            </w:pPr>
            <w:r>
              <w:rPr>
                <w:rFonts w:ascii="Times New Roman" w:hAnsi="Times New Roman" w:cs="Times New Roman"/>
                <w:sz w:val="24"/>
                <w:szCs w:val="24"/>
              </w:rPr>
              <w:t>1</w:t>
            </w:r>
          </w:p>
        </w:tc>
      </w:tr>
      <w:tr w:rsidR="00506C08" w14:paraId="7EDD4F3C" w14:textId="77777777" w:rsidTr="00AA1377">
        <w:tc>
          <w:tcPr>
            <w:tcW w:w="9185" w:type="dxa"/>
            <w:hideMark/>
          </w:tcPr>
          <w:p w14:paraId="7A358D2A" w14:textId="77777777" w:rsidR="00506C08" w:rsidRDefault="00506C08" w:rsidP="00506C08">
            <w:pPr>
              <w:pStyle w:val="Odsekzoznamu"/>
              <w:numPr>
                <w:ilvl w:val="1"/>
                <w:numId w:val="11"/>
              </w:numPr>
              <w:tabs>
                <w:tab w:val="left" w:pos="896"/>
                <w:tab w:val="left" w:pos="1134"/>
              </w:tabs>
              <w:ind w:left="1560" w:hanging="851"/>
              <w:rPr>
                <w:rFonts w:ascii="Times New Roman" w:hAnsi="Times New Roman" w:cs="Times New Roman"/>
                <w:sz w:val="24"/>
                <w:szCs w:val="24"/>
              </w:rPr>
            </w:pPr>
            <w:r>
              <w:rPr>
                <w:rFonts w:ascii="Times New Roman" w:hAnsi="Times New Roman" w:cs="Times New Roman"/>
                <w:sz w:val="24"/>
                <w:szCs w:val="24"/>
              </w:rPr>
              <w:t xml:space="preserve">Vývoj HDP </w:t>
            </w:r>
          </w:p>
        </w:tc>
        <w:tc>
          <w:tcPr>
            <w:tcW w:w="567" w:type="dxa"/>
            <w:hideMark/>
          </w:tcPr>
          <w:p w14:paraId="73758788" w14:textId="77777777" w:rsidR="00506C08" w:rsidRDefault="00506C08">
            <w:pPr>
              <w:tabs>
                <w:tab w:val="left" w:pos="1134"/>
              </w:tabs>
              <w:ind w:left="34"/>
              <w:jc w:val="left"/>
              <w:rPr>
                <w:rFonts w:ascii="Times New Roman" w:hAnsi="Times New Roman" w:cs="Times New Roman"/>
                <w:sz w:val="24"/>
                <w:szCs w:val="24"/>
              </w:rPr>
            </w:pPr>
            <w:r>
              <w:rPr>
                <w:rFonts w:ascii="Times New Roman" w:hAnsi="Times New Roman" w:cs="Times New Roman"/>
                <w:sz w:val="24"/>
                <w:szCs w:val="24"/>
              </w:rPr>
              <w:t>1</w:t>
            </w:r>
          </w:p>
        </w:tc>
      </w:tr>
      <w:tr w:rsidR="00506C08" w14:paraId="035CB4EE" w14:textId="77777777" w:rsidTr="00AA1377">
        <w:tc>
          <w:tcPr>
            <w:tcW w:w="9185" w:type="dxa"/>
            <w:hideMark/>
          </w:tcPr>
          <w:p w14:paraId="0B35A11E" w14:textId="77777777" w:rsidR="00506C08" w:rsidRDefault="00506C08" w:rsidP="00506C08">
            <w:pPr>
              <w:pStyle w:val="Odsekzoznamu"/>
              <w:numPr>
                <w:ilvl w:val="1"/>
                <w:numId w:val="11"/>
              </w:numPr>
              <w:tabs>
                <w:tab w:val="left" w:pos="896"/>
                <w:tab w:val="left" w:pos="1134"/>
              </w:tabs>
              <w:ind w:left="1560" w:hanging="851"/>
              <w:rPr>
                <w:rFonts w:ascii="Times New Roman" w:hAnsi="Times New Roman" w:cs="Times New Roman"/>
                <w:sz w:val="24"/>
                <w:szCs w:val="24"/>
              </w:rPr>
            </w:pPr>
            <w:r>
              <w:rPr>
                <w:rFonts w:ascii="Times New Roman" w:hAnsi="Times New Roman" w:cs="Times New Roman"/>
                <w:sz w:val="24"/>
                <w:szCs w:val="24"/>
              </w:rPr>
              <w:t>Trh práce a vzdelávanie</w:t>
            </w:r>
          </w:p>
        </w:tc>
        <w:tc>
          <w:tcPr>
            <w:tcW w:w="567" w:type="dxa"/>
            <w:hideMark/>
          </w:tcPr>
          <w:p w14:paraId="2372BA2A" w14:textId="77777777" w:rsidR="00506C08" w:rsidRDefault="00506C08">
            <w:pPr>
              <w:tabs>
                <w:tab w:val="left" w:pos="1134"/>
              </w:tabs>
              <w:ind w:left="34"/>
              <w:rPr>
                <w:rFonts w:ascii="Times New Roman" w:hAnsi="Times New Roman" w:cs="Times New Roman"/>
                <w:sz w:val="24"/>
                <w:szCs w:val="24"/>
              </w:rPr>
            </w:pPr>
            <w:r>
              <w:rPr>
                <w:rFonts w:ascii="Times New Roman" w:hAnsi="Times New Roman" w:cs="Times New Roman"/>
                <w:sz w:val="24"/>
                <w:szCs w:val="24"/>
              </w:rPr>
              <w:t>2</w:t>
            </w:r>
          </w:p>
        </w:tc>
      </w:tr>
      <w:tr w:rsidR="00506C08" w14:paraId="0BFE4136" w14:textId="77777777" w:rsidTr="00AA1377">
        <w:tc>
          <w:tcPr>
            <w:tcW w:w="9185" w:type="dxa"/>
            <w:hideMark/>
          </w:tcPr>
          <w:p w14:paraId="1695AF82" w14:textId="77777777" w:rsidR="00506C08" w:rsidRDefault="00506C08">
            <w:pPr>
              <w:pStyle w:val="Odsekzoznamu"/>
              <w:tabs>
                <w:tab w:val="left" w:pos="1134"/>
              </w:tabs>
              <w:ind w:left="1560" w:hanging="851"/>
              <w:rPr>
                <w:rFonts w:ascii="Times New Roman" w:hAnsi="Times New Roman" w:cs="Times New Roman"/>
                <w:sz w:val="24"/>
                <w:szCs w:val="24"/>
              </w:rPr>
            </w:pPr>
            <w:r>
              <w:rPr>
                <w:rFonts w:ascii="Times New Roman" w:hAnsi="Times New Roman" w:cs="Times New Roman"/>
                <w:sz w:val="24"/>
                <w:szCs w:val="24"/>
              </w:rPr>
              <w:t xml:space="preserve">1.4 Zhodnotenie investičnej pomoci </w:t>
            </w:r>
          </w:p>
        </w:tc>
        <w:tc>
          <w:tcPr>
            <w:tcW w:w="567" w:type="dxa"/>
            <w:hideMark/>
          </w:tcPr>
          <w:p w14:paraId="077AC5AD" w14:textId="77777777" w:rsidR="00506C08" w:rsidRDefault="00506C08">
            <w:pPr>
              <w:ind w:left="34"/>
              <w:jc w:val="left"/>
              <w:rPr>
                <w:rFonts w:ascii="Times New Roman" w:hAnsi="Times New Roman" w:cs="Times New Roman"/>
                <w:sz w:val="24"/>
                <w:szCs w:val="24"/>
              </w:rPr>
            </w:pPr>
            <w:r>
              <w:rPr>
                <w:rFonts w:ascii="Times New Roman" w:hAnsi="Times New Roman" w:cs="Times New Roman"/>
                <w:sz w:val="24"/>
                <w:szCs w:val="24"/>
              </w:rPr>
              <w:t>6</w:t>
            </w:r>
          </w:p>
        </w:tc>
      </w:tr>
      <w:tr w:rsidR="00506C08" w14:paraId="6F487535" w14:textId="77777777" w:rsidTr="00AA1377">
        <w:tc>
          <w:tcPr>
            <w:tcW w:w="9185" w:type="dxa"/>
            <w:hideMark/>
          </w:tcPr>
          <w:p w14:paraId="34187368" w14:textId="77777777" w:rsidR="00506C08" w:rsidRDefault="00506C08" w:rsidP="00506C08">
            <w:pPr>
              <w:pStyle w:val="Odsekzoznamu"/>
              <w:numPr>
                <w:ilvl w:val="0"/>
                <w:numId w:val="10"/>
              </w:numPr>
              <w:ind w:firstLine="0"/>
              <w:rPr>
                <w:rFonts w:ascii="Times New Roman" w:hAnsi="Times New Roman" w:cs="Times New Roman"/>
                <w:sz w:val="24"/>
                <w:szCs w:val="24"/>
              </w:rPr>
            </w:pPr>
            <w:r>
              <w:rPr>
                <w:rFonts w:ascii="Times New Roman" w:hAnsi="Times New Roman" w:cs="Times New Roman"/>
                <w:sz w:val="24"/>
              </w:rPr>
              <w:t>Komparatívne hodnotenie podnikateľského prostredia SR</w:t>
            </w:r>
          </w:p>
        </w:tc>
        <w:tc>
          <w:tcPr>
            <w:tcW w:w="567" w:type="dxa"/>
            <w:hideMark/>
          </w:tcPr>
          <w:p w14:paraId="29103EDD" w14:textId="77777777" w:rsidR="00506C08" w:rsidRDefault="00506C08">
            <w:pPr>
              <w:ind w:left="34"/>
              <w:jc w:val="left"/>
              <w:rPr>
                <w:rFonts w:ascii="Times New Roman" w:hAnsi="Times New Roman" w:cs="Times New Roman"/>
                <w:sz w:val="24"/>
                <w:szCs w:val="24"/>
              </w:rPr>
            </w:pPr>
            <w:r>
              <w:rPr>
                <w:rFonts w:ascii="Times New Roman" w:hAnsi="Times New Roman" w:cs="Times New Roman"/>
                <w:sz w:val="24"/>
                <w:szCs w:val="24"/>
              </w:rPr>
              <w:t>8</w:t>
            </w:r>
          </w:p>
        </w:tc>
      </w:tr>
      <w:tr w:rsidR="00506C08" w14:paraId="110A49F8" w14:textId="77777777" w:rsidTr="00AA1377">
        <w:tc>
          <w:tcPr>
            <w:tcW w:w="9185" w:type="dxa"/>
            <w:hideMark/>
          </w:tcPr>
          <w:p w14:paraId="49C552B0" w14:textId="77777777" w:rsidR="00506C08" w:rsidRDefault="00506C08" w:rsidP="00506C08">
            <w:pPr>
              <w:pStyle w:val="Odsekzoznamu"/>
              <w:numPr>
                <w:ilvl w:val="1"/>
                <w:numId w:val="10"/>
              </w:numPr>
              <w:tabs>
                <w:tab w:val="left" w:pos="1134"/>
                <w:tab w:val="left" w:pos="1560"/>
              </w:tabs>
              <w:ind w:hanging="1189"/>
              <w:rPr>
                <w:rFonts w:ascii="Times New Roman" w:hAnsi="Times New Roman" w:cs="Times New Roman"/>
                <w:sz w:val="24"/>
                <w:szCs w:val="24"/>
              </w:rPr>
            </w:pPr>
            <w:r>
              <w:rPr>
                <w:rFonts w:ascii="Times New Roman" w:hAnsi="Times New Roman" w:cs="Times New Roman"/>
                <w:sz w:val="24"/>
                <w:szCs w:val="24"/>
              </w:rPr>
              <w:t>Hodnotenie Svetovej banky „</w:t>
            </w:r>
            <w:proofErr w:type="spellStart"/>
            <w:r>
              <w:rPr>
                <w:rFonts w:ascii="Times New Roman" w:hAnsi="Times New Roman" w:cs="Times New Roman"/>
                <w:sz w:val="24"/>
                <w:szCs w:val="24"/>
              </w:rPr>
              <w:t>Doing</w:t>
            </w:r>
            <w:proofErr w:type="spellEnd"/>
            <w:r>
              <w:rPr>
                <w:rFonts w:ascii="Times New Roman" w:hAnsi="Times New Roman" w:cs="Times New Roman"/>
                <w:sz w:val="24"/>
                <w:szCs w:val="24"/>
              </w:rPr>
              <w:t xml:space="preserve"> Business“</w:t>
            </w:r>
          </w:p>
        </w:tc>
        <w:tc>
          <w:tcPr>
            <w:tcW w:w="567" w:type="dxa"/>
            <w:hideMark/>
          </w:tcPr>
          <w:p w14:paraId="3201FB16" w14:textId="77777777" w:rsidR="00506C08" w:rsidRDefault="00506C08">
            <w:pPr>
              <w:tabs>
                <w:tab w:val="left" w:pos="1134"/>
              </w:tabs>
              <w:ind w:left="34"/>
              <w:jc w:val="left"/>
              <w:rPr>
                <w:rFonts w:ascii="Times New Roman" w:hAnsi="Times New Roman" w:cs="Times New Roman"/>
                <w:sz w:val="24"/>
                <w:szCs w:val="24"/>
              </w:rPr>
            </w:pPr>
            <w:r>
              <w:rPr>
                <w:rFonts w:ascii="Times New Roman" w:hAnsi="Times New Roman" w:cs="Times New Roman"/>
                <w:sz w:val="24"/>
                <w:szCs w:val="24"/>
              </w:rPr>
              <w:t>8</w:t>
            </w:r>
          </w:p>
        </w:tc>
      </w:tr>
      <w:tr w:rsidR="00506C08" w14:paraId="46FCDE5C" w14:textId="77777777" w:rsidTr="00AA1377">
        <w:tc>
          <w:tcPr>
            <w:tcW w:w="9185" w:type="dxa"/>
            <w:hideMark/>
          </w:tcPr>
          <w:p w14:paraId="52C473CD" w14:textId="77777777" w:rsidR="00506C08" w:rsidRDefault="00506C08" w:rsidP="00506C08">
            <w:pPr>
              <w:pStyle w:val="Odsekzoznamu"/>
              <w:numPr>
                <w:ilvl w:val="1"/>
                <w:numId w:val="10"/>
              </w:numPr>
              <w:tabs>
                <w:tab w:val="left" w:pos="1134"/>
                <w:tab w:val="left" w:pos="1560"/>
              </w:tabs>
              <w:ind w:left="1560" w:hanging="851"/>
              <w:rPr>
                <w:rFonts w:ascii="Times New Roman" w:hAnsi="Times New Roman" w:cs="Times New Roman"/>
                <w:sz w:val="24"/>
                <w:szCs w:val="24"/>
              </w:rPr>
            </w:pPr>
            <w:r>
              <w:rPr>
                <w:rFonts w:ascii="Times New Roman" w:eastAsia="Times New Roman" w:hAnsi="Times New Roman" w:cs="Times New Roman"/>
                <w:sz w:val="24"/>
                <w:szCs w:val="24"/>
              </w:rPr>
              <w:t>Postavenie SR v rebríčku konkurencieschopnosti Svetového ekonomického fóra</w:t>
            </w:r>
          </w:p>
        </w:tc>
        <w:tc>
          <w:tcPr>
            <w:tcW w:w="567" w:type="dxa"/>
            <w:hideMark/>
          </w:tcPr>
          <w:p w14:paraId="559B6EF7" w14:textId="77777777" w:rsidR="00506C08" w:rsidRDefault="00506C08">
            <w:pPr>
              <w:tabs>
                <w:tab w:val="left" w:pos="1134"/>
              </w:tabs>
              <w:ind w:left="34"/>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r>
      <w:tr w:rsidR="00506C08" w14:paraId="52AA8AB9" w14:textId="77777777" w:rsidTr="00AA1377">
        <w:tc>
          <w:tcPr>
            <w:tcW w:w="9185" w:type="dxa"/>
            <w:hideMark/>
          </w:tcPr>
          <w:p w14:paraId="6DEB4716" w14:textId="77777777" w:rsidR="00506C08" w:rsidRDefault="00506C08" w:rsidP="00506C08">
            <w:pPr>
              <w:pStyle w:val="Odsekzoznamu"/>
              <w:numPr>
                <w:ilvl w:val="1"/>
                <w:numId w:val="10"/>
              </w:numPr>
              <w:tabs>
                <w:tab w:val="left" w:pos="1134"/>
                <w:tab w:val="left" w:pos="1560"/>
              </w:tabs>
              <w:ind w:left="1560" w:hanging="851"/>
              <w:rPr>
                <w:rFonts w:ascii="Times New Roman" w:hAnsi="Times New Roman" w:cs="Times New Roman"/>
                <w:sz w:val="24"/>
                <w:szCs w:val="24"/>
              </w:rPr>
            </w:pPr>
            <w:r>
              <w:rPr>
                <w:rFonts w:ascii="Times New Roman" w:eastAsia="Times New Roman" w:hAnsi="Times New Roman" w:cs="Times New Roman"/>
                <w:sz w:val="24"/>
                <w:szCs w:val="24"/>
              </w:rPr>
              <w:t>Výsledky prieskumu Globálny monitoring podnikania</w:t>
            </w:r>
          </w:p>
        </w:tc>
        <w:tc>
          <w:tcPr>
            <w:tcW w:w="567" w:type="dxa"/>
            <w:hideMark/>
          </w:tcPr>
          <w:p w14:paraId="761304C2" w14:textId="77777777" w:rsidR="00506C08" w:rsidRDefault="00506C08">
            <w:pPr>
              <w:tabs>
                <w:tab w:val="left" w:pos="1134"/>
              </w:tabs>
              <w:ind w:left="34"/>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p>
        </w:tc>
      </w:tr>
      <w:tr w:rsidR="00506C08" w14:paraId="768321D6" w14:textId="77777777" w:rsidTr="00AA1377">
        <w:tc>
          <w:tcPr>
            <w:tcW w:w="9185" w:type="dxa"/>
            <w:hideMark/>
          </w:tcPr>
          <w:p w14:paraId="7398CBF9" w14:textId="77777777" w:rsidR="00506C08" w:rsidRDefault="00506C08" w:rsidP="00506C08">
            <w:pPr>
              <w:pStyle w:val="Odsekzoznamu"/>
              <w:numPr>
                <w:ilvl w:val="0"/>
                <w:numId w:val="10"/>
              </w:numPr>
              <w:ind w:firstLine="0"/>
              <w:rPr>
                <w:rFonts w:ascii="Times New Roman" w:hAnsi="Times New Roman" w:cs="Times New Roman"/>
                <w:sz w:val="24"/>
                <w:szCs w:val="24"/>
              </w:rPr>
            </w:pPr>
            <w:r>
              <w:rPr>
                <w:rFonts w:ascii="Times New Roman" w:hAnsi="Times New Roman" w:cs="Times New Roman"/>
                <w:sz w:val="24"/>
                <w:szCs w:val="24"/>
              </w:rPr>
              <w:t xml:space="preserve">Zhodnotenie stavu podnikateľského prostredia pre malé a stredné podnikanie  </w:t>
            </w:r>
          </w:p>
        </w:tc>
        <w:tc>
          <w:tcPr>
            <w:tcW w:w="567" w:type="dxa"/>
            <w:hideMark/>
          </w:tcPr>
          <w:p w14:paraId="47D5F775" w14:textId="77777777" w:rsidR="00506C08" w:rsidRDefault="00506C08">
            <w:pPr>
              <w:ind w:left="34"/>
              <w:jc w:val="left"/>
              <w:rPr>
                <w:rFonts w:ascii="Times New Roman" w:hAnsi="Times New Roman" w:cs="Times New Roman"/>
                <w:sz w:val="24"/>
                <w:szCs w:val="24"/>
              </w:rPr>
            </w:pPr>
            <w:r>
              <w:rPr>
                <w:rFonts w:ascii="Times New Roman" w:hAnsi="Times New Roman" w:cs="Times New Roman"/>
                <w:sz w:val="24"/>
                <w:szCs w:val="24"/>
              </w:rPr>
              <w:t>14</w:t>
            </w:r>
          </w:p>
        </w:tc>
      </w:tr>
      <w:tr w:rsidR="00506C08" w14:paraId="2B1A1A3A" w14:textId="77777777" w:rsidTr="00AA1377">
        <w:tc>
          <w:tcPr>
            <w:tcW w:w="9185" w:type="dxa"/>
            <w:hideMark/>
          </w:tcPr>
          <w:p w14:paraId="1FB602E2" w14:textId="77777777" w:rsidR="00506C08" w:rsidRDefault="00506C08" w:rsidP="00506C08">
            <w:pPr>
              <w:pStyle w:val="Odsekzoznamu"/>
              <w:numPr>
                <w:ilvl w:val="0"/>
                <w:numId w:val="10"/>
              </w:numPr>
              <w:ind w:left="734" w:hanging="374"/>
              <w:rPr>
                <w:rFonts w:ascii="Times New Roman" w:hAnsi="Times New Roman" w:cs="Times New Roman"/>
                <w:sz w:val="24"/>
                <w:szCs w:val="24"/>
              </w:rPr>
            </w:pPr>
            <w:r>
              <w:rPr>
                <w:rFonts w:ascii="Times New Roman" w:hAnsi="Times New Roman" w:cs="Times New Roman"/>
                <w:sz w:val="24"/>
                <w:szCs w:val="24"/>
              </w:rPr>
              <w:t>Vyhodnotenie plnenia opatrení na zlepšenie podnikateľského prostredia na Slovensku k 31. 12. 2017</w:t>
            </w:r>
          </w:p>
        </w:tc>
        <w:tc>
          <w:tcPr>
            <w:tcW w:w="567" w:type="dxa"/>
            <w:hideMark/>
          </w:tcPr>
          <w:p w14:paraId="2499608F" w14:textId="77777777" w:rsidR="00506C08" w:rsidRDefault="00506C08">
            <w:pPr>
              <w:ind w:left="34"/>
              <w:rPr>
                <w:rFonts w:ascii="Times New Roman" w:hAnsi="Times New Roman" w:cs="Times New Roman"/>
                <w:sz w:val="24"/>
                <w:szCs w:val="24"/>
              </w:rPr>
            </w:pPr>
            <w:r>
              <w:rPr>
                <w:rFonts w:ascii="Times New Roman" w:hAnsi="Times New Roman" w:cs="Times New Roman"/>
                <w:sz w:val="24"/>
                <w:szCs w:val="24"/>
              </w:rPr>
              <w:t>18</w:t>
            </w:r>
          </w:p>
        </w:tc>
      </w:tr>
      <w:tr w:rsidR="00506C08" w14:paraId="0B4F1DD9" w14:textId="77777777" w:rsidTr="00AA1377">
        <w:tc>
          <w:tcPr>
            <w:tcW w:w="9185" w:type="dxa"/>
            <w:hideMark/>
          </w:tcPr>
          <w:p w14:paraId="236CF977" w14:textId="77777777" w:rsidR="00506C08" w:rsidRDefault="00506C08" w:rsidP="00506C08">
            <w:pPr>
              <w:pStyle w:val="Odsekzoznamu"/>
              <w:numPr>
                <w:ilvl w:val="0"/>
                <w:numId w:val="10"/>
              </w:numPr>
              <w:ind w:firstLine="0"/>
              <w:rPr>
                <w:rFonts w:ascii="Times New Roman" w:hAnsi="Times New Roman" w:cs="Times New Roman"/>
                <w:sz w:val="24"/>
                <w:szCs w:val="24"/>
              </w:rPr>
            </w:pPr>
            <w:r>
              <w:rPr>
                <w:rFonts w:ascii="Times New Roman" w:hAnsi="Times New Roman" w:cs="Times New Roman"/>
                <w:sz w:val="24"/>
                <w:szCs w:val="24"/>
              </w:rPr>
              <w:t xml:space="preserve">Informácia o agende lepšej regulácie </w:t>
            </w:r>
          </w:p>
        </w:tc>
        <w:tc>
          <w:tcPr>
            <w:tcW w:w="567" w:type="dxa"/>
            <w:hideMark/>
          </w:tcPr>
          <w:p w14:paraId="26AB0E44" w14:textId="77777777" w:rsidR="00506C08" w:rsidRDefault="00506C08">
            <w:pPr>
              <w:ind w:left="34"/>
              <w:jc w:val="left"/>
              <w:rPr>
                <w:rFonts w:ascii="Times New Roman" w:hAnsi="Times New Roman" w:cs="Times New Roman"/>
                <w:sz w:val="24"/>
                <w:szCs w:val="24"/>
              </w:rPr>
            </w:pPr>
            <w:r>
              <w:rPr>
                <w:rFonts w:ascii="Times New Roman" w:hAnsi="Times New Roman" w:cs="Times New Roman"/>
                <w:sz w:val="24"/>
                <w:szCs w:val="24"/>
              </w:rPr>
              <w:t>21</w:t>
            </w:r>
          </w:p>
        </w:tc>
      </w:tr>
      <w:tr w:rsidR="00506C08" w14:paraId="3FFB2F17" w14:textId="77777777" w:rsidTr="00AA1377">
        <w:tc>
          <w:tcPr>
            <w:tcW w:w="9185" w:type="dxa"/>
            <w:hideMark/>
          </w:tcPr>
          <w:p w14:paraId="7538CAD2" w14:textId="77777777" w:rsidR="00506C08" w:rsidRDefault="00506C08" w:rsidP="00506C08">
            <w:pPr>
              <w:pStyle w:val="Odsekzoznamu"/>
              <w:numPr>
                <w:ilvl w:val="1"/>
                <w:numId w:val="10"/>
              </w:numPr>
              <w:tabs>
                <w:tab w:val="left" w:pos="1134"/>
              </w:tabs>
              <w:ind w:left="502" w:firstLine="232"/>
              <w:rPr>
                <w:rFonts w:ascii="Times New Roman" w:hAnsi="Times New Roman" w:cs="Times New Roman"/>
                <w:sz w:val="24"/>
                <w:szCs w:val="24"/>
              </w:rPr>
            </w:pPr>
            <w:r>
              <w:rPr>
                <w:rFonts w:ascii="Times New Roman" w:hAnsi="Times New Roman" w:cs="Times New Roman"/>
                <w:sz w:val="24"/>
                <w:szCs w:val="24"/>
              </w:rPr>
              <w:t xml:space="preserve">RIA 2020 – Stratégia lepšej regulácie </w:t>
            </w:r>
          </w:p>
        </w:tc>
        <w:tc>
          <w:tcPr>
            <w:tcW w:w="567" w:type="dxa"/>
            <w:hideMark/>
          </w:tcPr>
          <w:p w14:paraId="1EC9D4F3" w14:textId="77777777" w:rsidR="00506C08" w:rsidRDefault="00506C08">
            <w:pPr>
              <w:tabs>
                <w:tab w:val="left" w:pos="1134"/>
              </w:tabs>
              <w:ind w:left="34"/>
              <w:jc w:val="left"/>
              <w:rPr>
                <w:rFonts w:ascii="Times New Roman" w:hAnsi="Times New Roman" w:cs="Times New Roman"/>
                <w:sz w:val="24"/>
                <w:szCs w:val="24"/>
              </w:rPr>
            </w:pPr>
            <w:r>
              <w:rPr>
                <w:rFonts w:ascii="Times New Roman" w:hAnsi="Times New Roman" w:cs="Times New Roman"/>
                <w:sz w:val="24"/>
                <w:szCs w:val="24"/>
              </w:rPr>
              <w:t>21</w:t>
            </w:r>
          </w:p>
        </w:tc>
      </w:tr>
      <w:tr w:rsidR="00506C08" w14:paraId="71967076" w14:textId="77777777" w:rsidTr="00AA1377">
        <w:tc>
          <w:tcPr>
            <w:tcW w:w="9185" w:type="dxa"/>
            <w:hideMark/>
          </w:tcPr>
          <w:p w14:paraId="224A63C4" w14:textId="77777777" w:rsidR="00506C08" w:rsidRDefault="00506C08" w:rsidP="00506C08">
            <w:pPr>
              <w:pStyle w:val="Odsekzoznamu"/>
              <w:numPr>
                <w:ilvl w:val="1"/>
                <w:numId w:val="10"/>
              </w:numPr>
              <w:tabs>
                <w:tab w:val="left" w:pos="1134"/>
              </w:tabs>
              <w:ind w:left="1159" w:hanging="425"/>
              <w:rPr>
                <w:rFonts w:ascii="Times New Roman" w:hAnsi="Times New Roman" w:cs="Times New Roman"/>
                <w:sz w:val="24"/>
                <w:szCs w:val="24"/>
              </w:rPr>
            </w:pPr>
            <w:r>
              <w:rPr>
                <w:rFonts w:ascii="Times New Roman" w:hAnsi="Times New Roman" w:cs="Times New Roman"/>
                <w:sz w:val="24"/>
                <w:szCs w:val="24"/>
              </w:rPr>
              <w:t xml:space="preserve">Stála pracovná komisia Legislatívnej rady vlády SR na posudzovanie vybraných vplyvov pri Ministerstve hospodárstva SR </w:t>
            </w:r>
          </w:p>
        </w:tc>
        <w:tc>
          <w:tcPr>
            <w:tcW w:w="567" w:type="dxa"/>
            <w:hideMark/>
          </w:tcPr>
          <w:p w14:paraId="1AE22AF3" w14:textId="77777777" w:rsidR="00506C08" w:rsidRDefault="00506C08">
            <w:pPr>
              <w:tabs>
                <w:tab w:val="left" w:pos="1134"/>
              </w:tabs>
              <w:ind w:left="34"/>
              <w:jc w:val="left"/>
              <w:rPr>
                <w:rFonts w:ascii="Times New Roman" w:hAnsi="Times New Roman" w:cs="Times New Roman"/>
                <w:sz w:val="24"/>
                <w:szCs w:val="24"/>
              </w:rPr>
            </w:pPr>
            <w:r>
              <w:rPr>
                <w:rFonts w:ascii="Times New Roman" w:hAnsi="Times New Roman" w:cs="Times New Roman"/>
                <w:sz w:val="24"/>
                <w:szCs w:val="24"/>
              </w:rPr>
              <w:t>22</w:t>
            </w:r>
          </w:p>
        </w:tc>
      </w:tr>
      <w:tr w:rsidR="00506C08" w14:paraId="607B9F75" w14:textId="77777777" w:rsidTr="00AA1377">
        <w:tc>
          <w:tcPr>
            <w:tcW w:w="9185" w:type="dxa"/>
            <w:hideMark/>
          </w:tcPr>
          <w:p w14:paraId="336543F2" w14:textId="77777777" w:rsidR="00506C08" w:rsidRDefault="00506C08">
            <w:pPr>
              <w:pStyle w:val="Odsekzoznamu"/>
              <w:ind w:left="502"/>
              <w:rPr>
                <w:rFonts w:ascii="Times New Roman" w:hAnsi="Times New Roman" w:cs="Times New Roman"/>
                <w:b/>
                <w:sz w:val="24"/>
                <w:szCs w:val="24"/>
              </w:rPr>
            </w:pPr>
            <w:r>
              <w:rPr>
                <w:rFonts w:ascii="Times New Roman" w:hAnsi="Times New Roman" w:cs="Times New Roman"/>
                <w:sz w:val="24"/>
                <w:szCs w:val="24"/>
              </w:rPr>
              <w:t>Záver</w:t>
            </w:r>
          </w:p>
        </w:tc>
        <w:tc>
          <w:tcPr>
            <w:tcW w:w="567" w:type="dxa"/>
          </w:tcPr>
          <w:p w14:paraId="4EEC761A" w14:textId="77777777" w:rsidR="00506C08" w:rsidRDefault="00506C08">
            <w:pPr>
              <w:ind w:left="34"/>
              <w:rPr>
                <w:rFonts w:ascii="Times New Roman" w:hAnsi="Times New Roman" w:cs="Times New Roman"/>
                <w:sz w:val="24"/>
                <w:szCs w:val="24"/>
              </w:rPr>
            </w:pPr>
          </w:p>
        </w:tc>
      </w:tr>
      <w:tr w:rsidR="00506C08" w14:paraId="3A486BE8" w14:textId="77777777" w:rsidTr="00AA1377">
        <w:tc>
          <w:tcPr>
            <w:tcW w:w="9185" w:type="dxa"/>
            <w:hideMark/>
          </w:tcPr>
          <w:p w14:paraId="01A12772" w14:textId="77777777" w:rsidR="00506C08" w:rsidRDefault="00506C08">
            <w:pPr>
              <w:pStyle w:val="Odsekzoznamu"/>
              <w:ind w:left="502"/>
              <w:rPr>
                <w:rFonts w:ascii="Times New Roman" w:hAnsi="Times New Roman" w:cs="Times New Roman"/>
                <w:sz w:val="24"/>
                <w:szCs w:val="24"/>
              </w:rPr>
            </w:pPr>
            <w:r>
              <w:rPr>
                <w:rFonts w:ascii="Times New Roman" w:hAnsi="Times New Roman" w:cs="Times New Roman"/>
                <w:sz w:val="24"/>
                <w:szCs w:val="24"/>
              </w:rPr>
              <w:t>Príloha - Najvýznamnejšie legislatívne zmeny ovplyvňujúce podnikateľské prostredie</w:t>
            </w:r>
          </w:p>
        </w:tc>
        <w:tc>
          <w:tcPr>
            <w:tcW w:w="567" w:type="dxa"/>
          </w:tcPr>
          <w:p w14:paraId="1E72EF06" w14:textId="77777777" w:rsidR="00506C08" w:rsidRDefault="00506C08">
            <w:pPr>
              <w:ind w:left="34"/>
              <w:rPr>
                <w:rFonts w:ascii="Times New Roman" w:hAnsi="Times New Roman" w:cs="Times New Roman"/>
                <w:sz w:val="24"/>
                <w:szCs w:val="24"/>
              </w:rPr>
            </w:pPr>
          </w:p>
        </w:tc>
      </w:tr>
    </w:tbl>
    <w:p w14:paraId="19E028FD" w14:textId="77777777" w:rsidR="00070D19" w:rsidRPr="00A33A28" w:rsidRDefault="00070D19" w:rsidP="00070D19">
      <w:pPr>
        <w:spacing w:after="0" w:line="240" w:lineRule="auto"/>
        <w:rPr>
          <w:rFonts w:ascii="Times New Roman" w:hAnsi="Times New Roman" w:cs="Times New Roman"/>
          <w:sz w:val="24"/>
          <w:szCs w:val="24"/>
        </w:rPr>
      </w:pPr>
    </w:p>
    <w:p w14:paraId="648D20E7" w14:textId="77777777" w:rsidR="006765B2" w:rsidRDefault="006765B2" w:rsidP="00070D19">
      <w:pPr>
        <w:spacing w:after="0" w:line="240" w:lineRule="auto"/>
        <w:rPr>
          <w:rFonts w:ascii="Times New Roman" w:hAnsi="Times New Roman" w:cs="Times New Roman"/>
          <w:sz w:val="24"/>
          <w:szCs w:val="24"/>
        </w:rPr>
        <w:sectPr w:rsidR="006765B2" w:rsidSect="000F6FCC">
          <w:footerReference w:type="default" r:id="rId9"/>
          <w:footerReference w:type="first" r:id="rId10"/>
          <w:endnotePr>
            <w:numFmt w:val="decimal"/>
          </w:endnotePr>
          <w:pgSz w:w="11906" w:h="16838" w:code="9"/>
          <w:pgMar w:top="851" w:right="1416" w:bottom="851" w:left="1134" w:header="709" w:footer="255" w:gutter="0"/>
          <w:paperSrc w:first="15" w:other="15"/>
          <w:pgNumType w:start="1"/>
          <w:cols w:space="708"/>
          <w:docGrid w:linePitch="360"/>
        </w:sectPr>
      </w:pPr>
      <w:bookmarkStart w:id="0" w:name="_GoBack"/>
      <w:bookmarkEnd w:id="0"/>
    </w:p>
    <w:p w14:paraId="29C970CE" w14:textId="77777777" w:rsidR="00070D19" w:rsidRPr="00A33A28" w:rsidRDefault="00070D19" w:rsidP="00070D19">
      <w:pPr>
        <w:spacing w:after="0"/>
        <w:jc w:val="both"/>
        <w:rPr>
          <w:rFonts w:ascii="Times New Roman" w:hAnsi="Times New Roman" w:cs="Times New Roman"/>
          <w:b/>
          <w:sz w:val="28"/>
          <w:szCs w:val="28"/>
        </w:rPr>
      </w:pPr>
      <w:r w:rsidRPr="00A33A28">
        <w:rPr>
          <w:rFonts w:ascii="Times New Roman" w:hAnsi="Times New Roman" w:cs="Times New Roman"/>
          <w:b/>
          <w:sz w:val="28"/>
          <w:szCs w:val="28"/>
        </w:rPr>
        <w:lastRenderedPageBreak/>
        <w:t>Zoznam skratiek</w:t>
      </w:r>
    </w:p>
    <w:p w14:paraId="2FF964EE" w14:textId="77777777" w:rsidR="00070D19" w:rsidRPr="00A33A28" w:rsidRDefault="00070D19" w:rsidP="00070D19">
      <w:pPr>
        <w:spacing w:after="0"/>
        <w:jc w:val="both"/>
        <w:rPr>
          <w:rFonts w:ascii="Times New Roman" w:hAnsi="Times New Roman" w:cs="Times New Roman"/>
          <w:sz w:val="24"/>
          <w:szCs w:val="24"/>
        </w:rPr>
      </w:pPr>
    </w:p>
    <w:p w14:paraId="0DA1CCFD" w14:textId="77777777" w:rsidR="00070D19" w:rsidRPr="00A33A28" w:rsidRDefault="00070D19" w:rsidP="00070D19">
      <w:pPr>
        <w:spacing w:after="0"/>
        <w:jc w:val="both"/>
        <w:rPr>
          <w:rFonts w:ascii="Times New Roman" w:hAnsi="Times New Roman" w:cs="Times New Roman"/>
          <w:sz w:val="24"/>
          <w:szCs w:val="24"/>
        </w:rPr>
      </w:pPr>
      <w:r w:rsidRPr="00A33A28">
        <w:rPr>
          <w:rFonts w:ascii="Times New Roman" w:hAnsi="Times New Roman" w:cs="Times New Roman"/>
          <w:sz w:val="24"/>
          <w:szCs w:val="24"/>
        </w:rPr>
        <w:t>EÚ – Európska Únia</w:t>
      </w:r>
    </w:p>
    <w:p w14:paraId="1341C72D" w14:textId="77777777" w:rsidR="00070D19" w:rsidRPr="00A03707" w:rsidRDefault="00070D19" w:rsidP="00070D19">
      <w:pPr>
        <w:spacing w:after="0"/>
        <w:jc w:val="both"/>
        <w:rPr>
          <w:rFonts w:ascii="Times New Roman" w:hAnsi="Times New Roman" w:cs="Times New Roman"/>
          <w:sz w:val="24"/>
          <w:szCs w:val="24"/>
        </w:rPr>
      </w:pPr>
      <w:r>
        <w:rPr>
          <w:rFonts w:ascii="Times New Roman" w:hAnsi="Times New Roman" w:cs="Times New Roman"/>
          <w:sz w:val="24"/>
          <w:szCs w:val="24"/>
        </w:rPr>
        <w:t xml:space="preserve">EŠIF - </w:t>
      </w:r>
      <w:r w:rsidRPr="00A03707">
        <w:rPr>
          <w:rFonts w:ascii="Times New Roman" w:hAnsi="Times New Roman" w:cs="Times New Roman"/>
          <w:sz w:val="24"/>
          <w:szCs w:val="24"/>
        </w:rPr>
        <w:t>Európske štrukturálne a investičné fondy</w:t>
      </w:r>
    </w:p>
    <w:p w14:paraId="5D82C4D7" w14:textId="77777777" w:rsidR="00070D19" w:rsidRPr="00A33A28" w:rsidRDefault="00070D19" w:rsidP="00070D19">
      <w:pPr>
        <w:spacing w:after="0"/>
        <w:jc w:val="both"/>
        <w:rPr>
          <w:rFonts w:ascii="Times New Roman" w:hAnsi="Times New Roman" w:cs="Times New Roman"/>
          <w:sz w:val="24"/>
          <w:szCs w:val="24"/>
        </w:rPr>
      </w:pPr>
      <w:r w:rsidRPr="00A33A28">
        <w:rPr>
          <w:rFonts w:ascii="Times New Roman" w:hAnsi="Times New Roman" w:cs="Times New Roman"/>
          <w:sz w:val="24"/>
          <w:szCs w:val="24"/>
        </w:rPr>
        <w:t>GEM – Globálny monitoring podnikania</w:t>
      </w:r>
    </w:p>
    <w:p w14:paraId="7CC64E7C" w14:textId="77777777" w:rsidR="00070D19" w:rsidRPr="00A33A28" w:rsidRDefault="00070D19" w:rsidP="00070D19">
      <w:pPr>
        <w:spacing w:after="0"/>
        <w:jc w:val="both"/>
        <w:rPr>
          <w:rFonts w:ascii="Times New Roman" w:hAnsi="Times New Roman" w:cs="Times New Roman"/>
          <w:sz w:val="24"/>
          <w:szCs w:val="24"/>
        </w:rPr>
      </w:pPr>
      <w:r w:rsidRPr="00A33A28">
        <w:rPr>
          <w:rFonts w:ascii="Times New Roman" w:hAnsi="Times New Roman" w:cs="Times New Roman"/>
          <w:sz w:val="24"/>
          <w:szCs w:val="24"/>
        </w:rPr>
        <w:t>HDP – hrubý domáci produkt</w:t>
      </w:r>
    </w:p>
    <w:p w14:paraId="5EBDD7D7" w14:textId="77777777" w:rsidR="00070D19" w:rsidRPr="00A33A28" w:rsidRDefault="00070D19" w:rsidP="00070D19">
      <w:pPr>
        <w:spacing w:after="0"/>
        <w:jc w:val="both"/>
        <w:rPr>
          <w:rFonts w:ascii="Times New Roman" w:hAnsi="Times New Roman" w:cs="Times New Roman"/>
          <w:sz w:val="24"/>
          <w:szCs w:val="24"/>
        </w:rPr>
      </w:pPr>
      <w:r w:rsidRPr="00A33A28">
        <w:rPr>
          <w:rFonts w:ascii="Times New Roman" w:hAnsi="Times New Roman" w:cs="Times New Roman"/>
          <w:sz w:val="24"/>
          <w:szCs w:val="24"/>
        </w:rPr>
        <w:t xml:space="preserve">MH SR – Ministerstvo hospodárstva Slovenskej republiky </w:t>
      </w:r>
    </w:p>
    <w:p w14:paraId="340E496B" w14:textId="77777777" w:rsidR="00070D19" w:rsidRPr="00A33A28" w:rsidRDefault="00070D19" w:rsidP="00070D19">
      <w:pPr>
        <w:spacing w:after="0"/>
        <w:jc w:val="both"/>
        <w:rPr>
          <w:rFonts w:ascii="Times New Roman" w:hAnsi="Times New Roman" w:cs="Times New Roman"/>
          <w:sz w:val="24"/>
          <w:szCs w:val="24"/>
        </w:rPr>
      </w:pPr>
      <w:r w:rsidRPr="00A33A28">
        <w:rPr>
          <w:rFonts w:ascii="Times New Roman" w:hAnsi="Times New Roman" w:cs="Times New Roman"/>
          <w:sz w:val="24"/>
          <w:szCs w:val="24"/>
        </w:rPr>
        <w:t>MSP – malé a stredné podniky</w:t>
      </w:r>
    </w:p>
    <w:p w14:paraId="23236072" w14:textId="77777777" w:rsidR="00070D19" w:rsidRPr="00A33A28" w:rsidRDefault="00070D19" w:rsidP="00070D19">
      <w:pPr>
        <w:spacing w:after="0"/>
        <w:jc w:val="both"/>
        <w:rPr>
          <w:rFonts w:ascii="Times New Roman" w:hAnsi="Times New Roman" w:cs="Times New Roman"/>
          <w:sz w:val="24"/>
          <w:szCs w:val="24"/>
        </w:rPr>
      </w:pPr>
      <w:proofErr w:type="spellStart"/>
      <w:r w:rsidRPr="00A33A28">
        <w:rPr>
          <w:rFonts w:ascii="Times New Roman" w:hAnsi="Times New Roman" w:cs="Times New Roman"/>
          <w:sz w:val="24"/>
          <w:szCs w:val="24"/>
        </w:rPr>
        <w:t>NIPaIP</w:t>
      </w:r>
      <w:proofErr w:type="spellEnd"/>
      <w:r w:rsidRPr="00A33A28">
        <w:rPr>
          <w:rFonts w:ascii="Times New Roman" w:hAnsi="Times New Roman" w:cs="Times New Roman"/>
          <w:sz w:val="24"/>
          <w:szCs w:val="24"/>
        </w:rPr>
        <w:t xml:space="preserve"> - Národný inšpektorát práce a inšpektoráty práce </w:t>
      </w:r>
    </w:p>
    <w:p w14:paraId="1F37AF56" w14:textId="77777777" w:rsidR="00070D19" w:rsidRDefault="00070D19" w:rsidP="00070D19">
      <w:pPr>
        <w:spacing w:after="0"/>
        <w:jc w:val="both"/>
        <w:rPr>
          <w:rFonts w:ascii="Times New Roman" w:hAnsi="Times New Roman" w:cs="Times New Roman"/>
          <w:sz w:val="24"/>
          <w:szCs w:val="24"/>
        </w:rPr>
      </w:pPr>
      <w:proofErr w:type="spellStart"/>
      <w:r>
        <w:rPr>
          <w:rFonts w:ascii="Times New Roman" w:hAnsi="Times New Roman" w:cs="Times New Roman"/>
          <w:sz w:val="24"/>
          <w:szCs w:val="24"/>
        </w:rPr>
        <w:t>OPVaI</w:t>
      </w:r>
      <w:proofErr w:type="spellEnd"/>
      <w:r>
        <w:rPr>
          <w:rFonts w:ascii="Times New Roman" w:hAnsi="Times New Roman" w:cs="Times New Roman"/>
          <w:sz w:val="24"/>
          <w:szCs w:val="24"/>
        </w:rPr>
        <w:t xml:space="preserve"> – Operačný program Výskum a Inovácie</w:t>
      </w:r>
    </w:p>
    <w:p w14:paraId="364E3961" w14:textId="77777777" w:rsidR="00070D19" w:rsidRPr="00A33A28" w:rsidRDefault="00070D19" w:rsidP="00070D19">
      <w:pPr>
        <w:spacing w:after="0"/>
        <w:jc w:val="both"/>
        <w:rPr>
          <w:rFonts w:ascii="Times New Roman" w:hAnsi="Times New Roman" w:cs="Times New Roman"/>
          <w:sz w:val="24"/>
          <w:szCs w:val="24"/>
        </w:rPr>
      </w:pPr>
      <w:r w:rsidRPr="00A33A28">
        <w:rPr>
          <w:rFonts w:ascii="Times New Roman" w:hAnsi="Times New Roman" w:cs="Times New Roman"/>
          <w:sz w:val="24"/>
          <w:szCs w:val="24"/>
        </w:rPr>
        <w:t>SBA – Slovak Business Agency</w:t>
      </w:r>
    </w:p>
    <w:p w14:paraId="71FC0E7C" w14:textId="77777777" w:rsidR="00070D19" w:rsidRPr="00A33A28" w:rsidRDefault="00070D19" w:rsidP="00070D19">
      <w:pPr>
        <w:spacing w:after="0"/>
        <w:jc w:val="both"/>
        <w:rPr>
          <w:rFonts w:ascii="Times New Roman" w:hAnsi="Times New Roman" w:cs="Times New Roman"/>
          <w:sz w:val="24"/>
          <w:szCs w:val="24"/>
        </w:rPr>
      </w:pPr>
      <w:r w:rsidRPr="00A33A28">
        <w:rPr>
          <w:rFonts w:ascii="Times New Roman" w:hAnsi="Times New Roman" w:cs="Times New Roman"/>
          <w:sz w:val="24"/>
          <w:szCs w:val="24"/>
        </w:rPr>
        <w:t xml:space="preserve">SDV – systém duálneho vzdelávania </w:t>
      </w:r>
    </w:p>
    <w:p w14:paraId="6DC4997D" w14:textId="77777777" w:rsidR="00070D19" w:rsidRPr="00A33A28" w:rsidRDefault="00070D19" w:rsidP="00070D19">
      <w:pPr>
        <w:spacing w:after="0"/>
        <w:jc w:val="both"/>
        <w:rPr>
          <w:rFonts w:ascii="Times New Roman" w:hAnsi="Times New Roman" w:cs="Times New Roman"/>
          <w:sz w:val="24"/>
          <w:szCs w:val="24"/>
        </w:rPr>
      </w:pPr>
      <w:r w:rsidRPr="00A33A28">
        <w:rPr>
          <w:rFonts w:ascii="Times New Roman" w:hAnsi="Times New Roman" w:cs="Times New Roman"/>
          <w:sz w:val="24"/>
          <w:szCs w:val="24"/>
        </w:rPr>
        <w:t>ŠÚ SR – Štatistický úrad Slovenskej republiky</w:t>
      </w:r>
    </w:p>
    <w:p w14:paraId="2A4146B9" w14:textId="77777777" w:rsidR="00070D19" w:rsidRPr="00A33A28" w:rsidRDefault="00070D19" w:rsidP="00070D19">
      <w:pPr>
        <w:spacing w:after="0"/>
        <w:jc w:val="both"/>
        <w:rPr>
          <w:rFonts w:ascii="Times New Roman" w:hAnsi="Times New Roman" w:cs="Times New Roman"/>
          <w:sz w:val="24"/>
          <w:szCs w:val="24"/>
        </w:rPr>
      </w:pPr>
      <w:r w:rsidRPr="00A33A28">
        <w:rPr>
          <w:rFonts w:ascii="Times New Roman" w:hAnsi="Times New Roman" w:cs="Times New Roman"/>
          <w:sz w:val="24"/>
          <w:szCs w:val="24"/>
        </w:rPr>
        <w:t>ÚPSVaR - Ústredie práce, sociálnych vecí a rodiny SR</w:t>
      </w:r>
    </w:p>
    <w:p w14:paraId="2542F9DB" w14:textId="77777777" w:rsidR="00070D19" w:rsidRPr="00A33A28" w:rsidRDefault="00070D19" w:rsidP="00070D19">
      <w:pPr>
        <w:spacing w:after="0"/>
        <w:jc w:val="both"/>
        <w:rPr>
          <w:rFonts w:ascii="Times New Roman" w:hAnsi="Times New Roman" w:cs="Times New Roman"/>
          <w:sz w:val="24"/>
          <w:szCs w:val="24"/>
        </w:rPr>
      </w:pPr>
      <w:r w:rsidRPr="00A33A28">
        <w:rPr>
          <w:rFonts w:ascii="Times New Roman" w:hAnsi="Times New Roman" w:cs="Times New Roman"/>
          <w:sz w:val="24"/>
          <w:szCs w:val="24"/>
        </w:rPr>
        <w:t>WEF – Svetové ekonomické fórum</w:t>
      </w:r>
    </w:p>
    <w:p w14:paraId="28B8B91A" w14:textId="77777777" w:rsidR="006765B2" w:rsidRDefault="006765B2" w:rsidP="00070D19">
      <w:pPr>
        <w:spacing w:after="0"/>
        <w:jc w:val="both"/>
        <w:rPr>
          <w:rFonts w:ascii="Times New Roman" w:hAnsi="Times New Roman" w:cs="Times New Roman"/>
          <w:sz w:val="24"/>
          <w:szCs w:val="24"/>
        </w:rPr>
        <w:sectPr w:rsidR="006765B2" w:rsidSect="00653141">
          <w:footerReference w:type="first" r:id="rId11"/>
          <w:endnotePr>
            <w:numFmt w:val="decimal"/>
          </w:endnotePr>
          <w:pgSz w:w="11906" w:h="16838" w:code="9"/>
          <w:pgMar w:top="851" w:right="1416" w:bottom="709" w:left="1134" w:header="709" w:footer="255" w:gutter="0"/>
          <w:paperSrc w:first="15" w:other="15"/>
          <w:pgNumType w:start="1"/>
          <w:cols w:space="708"/>
          <w:titlePg/>
          <w:docGrid w:linePitch="360"/>
        </w:sectPr>
      </w:pPr>
    </w:p>
    <w:p w14:paraId="0E15F12E" w14:textId="1A6F30EA" w:rsidR="00070D19" w:rsidRPr="00A33A28" w:rsidRDefault="006765B2" w:rsidP="00070D19">
      <w:pPr>
        <w:spacing w:before="240" w:line="240" w:lineRule="auto"/>
        <w:contextualSpacing/>
        <w:jc w:val="both"/>
        <w:rPr>
          <w:rFonts w:ascii="Times New Roman" w:hAnsi="Times New Roman" w:cs="Times New Roman"/>
          <w:b/>
          <w:sz w:val="28"/>
          <w:szCs w:val="28"/>
        </w:rPr>
      </w:pPr>
      <w:r>
        <w:rPr>
          <w:rFonts w:ascii="Times New Roman" w:hAnsi="Times New Roman" w:cs="Times New Roman"/>
          <w:b/>
          <w:sz w:val="28"/>
          <w:szCs w:val="28"/>
        </w:rPr>
        <w:lastRenderedPageBreak/>
        <w:t>Ú</w:t>
      </w:r>
      <w:r w:rsidR="00070D19" w:rsidRPr="00A33A28">
        <w:rPr>
          <w:rFonts w:ascii="Times New Roman" w:hAnsi="Times New Roman" w:cs="Times New Roman"/>
          <w:b/>
          <w:sz w:val="28"/>
          <w:szCs w:val="28"/>
        </w:rPr>
        <w:t xml:space="preserve">vod </w:t>
      </w:r>
    </w:p>
    <w:p w14:paraId="7AD21B25" w14:textId="77777777" w:rsidR="00070D19" w:rsidRPr="00A33A28" w:rsidRDefault="00070D19" w:rsidP="00070D19">
      <w:pPr>
        <w:spacing w:before="240" w:line="240" w:lineRule="auto"/>
        <w:ind w:left="502"/>
        <w:contextualSpacing/>
        <w:jc w:val="both"/>
        <w:rPr>
          <w:rFonts w:ascii="Times New Roman" w:hAnsi="Times New Roman" w:cs="Times New Roman"/>
          <w:b/>
          <w:sz w:val="24"/>
          <w:szCs w:val="24"/>
        </w:rPr>
      </w:pPr>
    </w:p>
    <w:p w14:paraId="69684570" w14:textId="77777777" w:rsidR="00070D19" w:rsidRPr="00A33A28" w:rsidRDefault="00070D19" w:rsidP="00070D19">
      <w:pPr>
        <w:spacing w:before="240" w:line="240" w:lineRule="auto"/>
        <w:ind w:firstLine="709"/>
        <w:jc w:val="both"/>
        <w:rPr>
          <w:rFonts w:ascii="Times New Roman" w:hAnsi="Times New Roman" w:cs="Times New Roman"/>
          <w:sz w:val="24"/>
          <w:szCs w:val="24"/>
        </w:rPr>
      </w:pPr>
      <w:r w:rsidRPr="00A33A28">
        <w:rPr>
          <w:rFonts w:ascii="Times New Roman" w:hAnsi="Times New Roman" w:cs="Times New Roman"/>
          <w:sz w:val="24"/>
          <w:szCs w:val="24"/>
        </w:rPr>
        <w:t xml:space="preserve">Kontinuálne zlepšovanie podnikateľského prostredia je jednou z priorít vlády zadefinovaných v jej programovom vyhlásení. Zároveň je aj jedným z hlavných cieľov deklarovaných v rámci cieľov stratégie Európa 2020 v Národnom programe reforiem s dôrazom na vytvorenie predpokladov na systematické zlepšovanie postavenia Slovenska voči krajinám OECD a EÚ v hodnoteniach podnikateľského prostredia. </w:t>
      </w:r>
    </w:p>
    <w:p w14:paraId="603CC236" w14:textId="77777777" w:rsidR="00070D19" w:rsidRPr="00A33A28" w:rsidRDefault="00070D19" w:rsidP="00070D19">
      <w:pPr>
        <w:spacing w:before="240" w:line="240" w:lineRule="auto"/>
        <w:ind w:firstLine="709"/>
        <w:jc w:val="both"/>
        <w:rPr>
          <w:rFonts w:ascii="Times New Roman" w:hAnsi="Times New Roman" w:cs="Times New Roman"/>
          <w:sz w:val="24"/>
          <w:szCs w:val="24"/>
        </w:rPr>
      </w:pPr>
      <w:r w:rsidRPr="00A33A28">
        <w:rPr>
          <w:rFonts w:ascii="Times New Roman" w:hAnsi="Times New Roman" w:cs="Times New Roman"/>
          <w:sz w:val="24"/>
          <w:szCs w:val="24"/>
        </w:rPr>
        <w:t xml:space="preserve">Predložená Správa o stave podnikateľského prostredia v Slovenskej republike v jednotlivých kapitolách mapuje rôzne aspekty aktuálneho stavu podnikateľského prostredia v SR s údajmi </w:t>
      </w:r>
      <w:r w:rsidRPr="00A33A28">
        <w:rPr>
          <w:rFonts w:ascii="Times New Roman" w:eastAsia="Batang" w:hAnsi="Times New Roman" w:cs="Times New Roman"/>
          <w:color w:val="000000"/>
          <w:sz w:val="24"/>
          <w:szCs w:val="24"/>
        </w:rPr>
        <w:t>dostupnými k 31. decembru 2017 a následne aktualizovanými údajmi o najnovšie štatistické ukazovatele dostupné k 5. marcu 2018.</w:t>
      </w:r>
      <w:r w:rsidRPr="00A33A28">
        <w:rPr>
          <w:rFonts w:ascii="Times New Roman" w:hAnsi="Times New Roman" w:cs="Times New Roman"/>
          <w:sz w:val="24"/>
          <w:szCs w:val="24"/>
        </w:rPr>
        <w:t xml:space="preserve"> </w:t>
      </w:r>
    </w:p>
    <w:p w14:paraId="15F37A5F" w14:textId="77777777" w:rsidR="00070D19" w:rsidRPr="00A33A28" w:rsidRDefault="00070D19" w:rsidP="00070D19">
      <w:pPr>
        <w:spacing w:before="240" w:line="240" w:lineRule="auto"/>
        <w:ind w:firstLine="709"/>
        <w:jc w:val="both"/>
        <w:rPr>
          <w:rFonts w:ascii="Times New Roman" w:hAnsi="Times New Roman" w:cs="Times New Roman"/>
          <w:sz w:val="24"/>
          <w:szCs w:val="24"/>
        </w:rPr>
      </w:pPr>
      <w:r w:rsidRPr="00A33A28">
        <w:rPr>
          <w:rFonts w:ascii="Times New Roman" w:hAnsi="Times New Roman" w:cs="Times New Roman"/>
          <w:sz w:val="24"/>
          <w:szCs w:val="24"/>
        </w:rPr>
        <w:t xml:space="preserve">V prvej kapitole sú popísané hlavné ukazovatele vývoja podnikateľského prostredia, vrátane analýzy štruktúry podnikateľského prostredia medzi nimi ukazovateľ vývoja HDP, trh práce a vzdelávanie, investičné stimuly. Na jednej strane sa môže zdať, že vybrané ukazovatele sú len marginálne a existuje mnoho iných ukazovateľov, ktoré by vyjadrovali kvalitu podnikateľského prostredia. Máme za to, že práve sociálne ukazovatele a ukazovateľ podpory vo forme investičných stimulov sú tie, ktoré v súčasnosti určujú akými trendmi sa v budúcnosti bude vyvíjať podnikanie na Slovensku. </w:t>
      </w:r>
    </w:p>
    <w:p w14:paraId="38AA3F71" w14:textId="1433C783" w:rsidR="00070D19" w:rsidRPr="00A33A28" w:rsidRDefault="00070D19" w:rsidP="00070D19">
      <w:pPr>
        <w:spacing w:before="240" w:line="240" w:lineRule="auto"/>
        <w:ind w:firstLine="709"/>
        <w:jc w:val="both"/>
        <w:rPr>
          <w:rFonts w:ascii="Times New Roman" w:hAnsi="Times New Roman" w:cs="Times New Roman"/>
          <w:sz w:val="24"/>
          <w:szCs w:val="24"/>
        </w:rPr>
      </w:pPr>
      <w:r w:rsidRPr="00A33A28">
        <w:rPr>
          <w:rFonts w:ascii="Times New Roman" w:hAnsi="Times New Roman" w:cs="Times New Roman"/>
          <w:sz w:val="24"/>
          <w:szCs w:val="24"/>
        </w:rPr>
        <w:t xml:space="preserve">V druhej kapitole sú informácie o medzinárodnom hodnotení slovenského podnikateľského prostredia v rámci rebríčkov Svetovej banky, Svetového ekonomického fóra a ďalších prieskumov. Jednou z podkapitol je aj informácia o prebiehajúcom hodnotení podnikateľského prostredia podľa regiónov Slovenska. </w:t>
      </w:r>
    </w:p>
    <w:p w14:paraId="76509CFA" w14:textId="77777777" w:rsidR="00070D19" w:rsidRPr="00A33A28" w:rsidRDefault="00070D19" w:rsidP="00070D19">
      <w:pPr>
        <w:spacing w:before="240" w:line="240" w:lineRule="auto"/>
        <w:ind w:firstLine="709"/>
        <w:jc w:val="both"/>
        <w:rPr>
          <w:rFonts w:ascii="Times New Roman" w:hAnsi="Times New Roman" w:cs="Times New Roman"/>
          <w:sz w:val="24"/>
          <w:szCs w:val="24"/>
        </w:rPr>
      </w:pPr>
      <w:r w:rsidRPr="00A33A28">
        <w:rPr>
          <w:rFonts w:ascii="Times New Roman" w:hAnsi="Times New Roman" w:cs="Times New Roman"/>
          <w:sz w:val="24"/>
          <w:szCs w:val="24"/>
        </w:rPr>
        <w:t xml:space="preserve">Tretia kapitola sa zameriava na malé a stredné podnikanie z pohľadu Európskej iniciatívy tzv. </w:t>
      </w:r>
      <w:proofErr w:type="spellStart"/>
      <w:r w:rsidRPr="00A33A28">
        <w:rPr>
          <w:rFonts w:ascii="Times New Roman" w:hAnsi="Times New Roman" w:cs="Times New Roman"/>
          <w:sz w:val="24"/>
          <w:szCs w:val="24"/>
        </w:rPr>
        <w:t>Small</w:t>
      </w:r>
      <w:proofErr w:type="spellEnd"/>
      <w:r w:rsidRPr="00A33A28">
        <w:rPr>
          <w:rFonts w:ascii="Times New Roman" w:hAnsi="Times New Roman" w:cs="Times New Roman"/>
          <w:sz w:val="24"/>
          <w:szCs w:val="24"/>
        </w:rPr>
        <w:t xml:space="preserve"> Business </w:t>
      </w:r>
      <w:proofErr w:type="spellStart"/>
      <w:r w:rsidRPr="00A33A28">
        <w:rPr>
          <w:rFonts w:ascii="Times New Roman" w:hAnsi="Times New Roman" w:cs="Times New Roman"/>
          <w:sz w:val="24"/>
          <w:szCs w:val="24"/>
        </w:rPr>
        <w:t>Act</w:t>
      </w:r>
      <w:proofErr w:type="spellEnd"/>
      <w:r w:rsidRPr="00A33A28">
        <w:rPr>
          <w:rFonts w:ascii="Times New Roman" w:hAnsi="Times New Roman" w:cs="Times New Roman"/>
          <w:sz w:val="24"/>
          <w:szCs w:val="24"/>
        </w:rPr>
        <w:t xml:space="preserve"> – Zákona o malých a stredných podnikoch. Nasledujúca kapitola je venovaná odpočtu plnenia prvého súboru opatrení na zlepšenie podnikateľského prostredia v roku 2017 </w:t>
      </w:r>
      <w:r w:rsidRPr="00A33A28">
        <w:rPr>
          <w:rFonts w:ascii="Times New Roman" w:eastAsia="Times New Roman" w:hAnsi="Times New Roman" w:cs="Times New Roman"/>
          <w:color w:val="000000"/>
          <w:sz w:val="24"/>
          <w:szCs w:val="24"/>
        </w:rPr>
        <w:t>schválených uznesením vlády SR č. 327  z 28. júna 2017</w:t>
      </w:r>
      <w:r w:rsidRPr="00A33A28">
        <w:rPr>
          <w:rFonts w:ascii="Times New Roman" w:hAnsi="Times New Roman" w:cs="Times New Roman"/>
          <w:sz w:val="24"/>
          <w:szCs w:val="24"/>
        </w:rPr>
        <w:t xml:space="preserve">. </w:t>
      </w:r>
    </w:p>
    <w:p w14:paraId="0DA3153D" w14:textId="77777777" w:rsidR="00070D19" w:rsidRPr="00A33A28" w:rsidRDefault="00070D19" w:rsidP="00070D19">
      <w:pPr>
        <w:spacing w:before="240" w:line="240" w:lineRule="auto"/>
        <w:ind w:firstLine="709"/>
        <w:jc w:val="both"/>
        <w:rPr>
          <w:rFonts w:ascii="Times New Roman" w:hAnsi="Times New Roman" w:cs="Times New Roman"/>
          <w:sz w:val="24"/>
          <w:szCs w:val="24"/>
        </w:rPr>
      </w:pPr>
      <w:r w:rsidRPr="00A33A28">
        <w:rPr>
          <w:rFonts w:ascii="Times New Roman" w:hAnsi="Times New Roman" w:cs="Times New Roman"/>
          <w:sz w:val="24"/>
          <w:szCs w:val="24"/>
        </w:rPr>
        <w:t>Záverečná, piata kapitola charakterizuje vývoj v agende lepšej regulácie so zreteľom na materiál RIA 2020 – Stratégia lepšej regulácie, schváleného uznesením vlády SR č. 32 z 24. januára 2018 a na fungovanie Stálej pracovnej komisie Legislatívnej rady vlády SR na posudzovanie vybraných vplyvov (ďalej len „Komisia RIA“). Materiál obsahuje prílohu, ktorá opisuje najvýznamnejšie legislatívne zmeny uplynulého obdobia, ktoré ovplyvňujú slovenské podnikateľské prostredie.</w:t>
      </w:r>
    </w:p>
    <w:p w14:paraId="6AE4CAAD" w14:textId="77777777" w:rsidR="006765B2" w:rsidRDefault="00070D19" w:rsidP="00070D19">
      <w:pPr>
        <w:spacing w:before="240" w:line="240" w:lineRule="auto"/>
        <w:ind w:firstLine="709"/>
        <w:jc w:val="both"/>
        <w:rPr>
          <w:rFonts w:ascii="Times New Roman" w:hAnsi="Times New Roman" w:cs="Times New Roman"/>
          <w:sz w:val="24"/>
          <w:szCs w:val="24"/>
        </w:rPr>
        <w:sectPr w:rsidR="006765B2" w:rsidSect="00653141">
          <w:footerReference w:type="first" r:id="rId12"/>
          <w:endnotePr>
            <w:numFmt w:val="decimal"/>
          </w:endnotePr>
          <w:pgSz w:w="11906" w:h="16838" w:code="9"/>
          <w:pgMar w:top="851" w:right="1416" w:bottom="709" w:left="1134" w:header="709" w:footer="255" w:gutter="0"/>
          <w:paperSrc w:first="15" w:other="15"/>
          <w:pgNumType w:start="1"/>
          <w:cols w:space="708"/>
          <w:titlePg/>
          <w:docGrid w:linePitch="360"/>
        </w:sectPr>
      </w:pPr>
      <w:r w:rsidRPr="00A33A28">
        <w:rPr>
          <w:rFonts w:ascii="Times New Roman" w:hAnsi="Times New Roman" w:cs="Times New Roman"/>
          <w:noProof/>
          <w:sz w:val="24"/>
          <w:szCs w:val="24"/>
          <w:lang w:eastAsia="sk-SK"/>
        </w:rPr>
        <mc:AlternateContent>
          <mc:Choice Requires="wps">
            <w:drawing>
              <wp:anchor distT="0" distB="0" distL="114300" distR="114300" simplePos="0" relativeHeight="251657216" behindDoc="0" locked="0" layoutInCell="1" allowOverlap="1" wp14:anchorId="29A611CA" wp14:editId="63053B10">
                <wp:simplePos x="0" y="0"/>
                <wp:positionH relativeFrom="column">
                  <wp:posOffset>5826760</wp:posOffset>
                </wp:positionH>
                <wp:positionV relativeFrom="paragraph">
                  <wp:posOffset>2075180</wp:posOffset>
                </wp:positionV>
                <wp:extent cx="650875" cy="389255"/>
                <wp:effectExtent l="0" t="0" r="15875" b="10795"/>
                <wp:wrapNone/>
                <wp:docPr id="3" name="Obdĺžnik 3"/>
                <wp:cNvGraphicFramePr/>
                <a:graphic xmlns:a="http://schemas.openxmlformats.org/drawingml/2006/main">
                  <a:graphicData uri="http://schemas.microsoft.com/office/word/2010/wordprocessingShape">
                    <wps:wsp>
                      <wps:cNvSpPr/>
                      <wps:spPr>
                        <a:xfrm>
                          <a:off x="0" y="0"/>
                          <a:ext cx="650875" cy="38925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3CCA955" id="Obdĺžnik 3" o:spid="_x0000_s1026" style="position:absolute;margin-left:458.8pt;margin-top:163.4pt;width:51.25pt;height:3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" fillcolor="white [3212]" strokecolor="white [3212]" strokeweight="2pt"/>
            </w:pict>
          </mc:Fallback>
        </mc:AlternateContent>
      </w:r>
      <w:r w:rsidRPr="00A33A28">
        <w:rPr>
          <w:rFonts w:ascii="Times New Roman" w:hAnsi="Times New Roman" w:cs="Times New Roman"/>
          <w:sz w:val="24"/>
          <w:szCs w:val="24"/>
        </w:rPr>
        <w:t xml:space="preserve">Tak ako je na viacerých miestach správy uvedené, v podnikateľskom prostredí SR </w:t>
      </w:r>
      <w:r w:rsidRPr="00A33A28">
        <w:rPr>
          <w:rFonts w:ascii="Times New Roman" w:hAnsi="Times New Roman" w:cs="Times New Roman"/>
          <w:sz w:val="24"/>
          <w:szCs w:val="24"/>
        </w:rPr>
        <w:br/>
        <w:t xml:space="preserve">sa prejavili mierne znaky poklesu jeho kvality. Tento stav je do značnej miery spôsobený najmä nedostatkom pracovnej sily. Ani nové legislatívne pravidlá vlády SR, či zákon o tvorbe právnych predpisov nedokázali zmierniť zo strany podnikateľov negatívne hodnotené fungovanie štátu </w:t>
      </w:r>
      <w:r w:rsidRPr="00A33A28">
        <w:rPr>
          <w:rFonts w:ascii="Times New Roman" w:hAnsi="Times New Roman" w:cs="Times New Roman"/>
          <w:sz w:val="24"/>
          <w:szCs w:val="24"/>
        </w:rPr>
        <w:br/>
        <w:t xml:space="preserve">vo vzťahu k tvorbe legislatívy a legislatívnemu prostrediu. Opätovne z viacerých prieskumov vyplynulo, že problémom je nestabilita legislatívneho prostredia, často meniace sa podmienky podnikania a podpory podnikania a byrokracia. Za uvedený stav zodpovedá MH SR, </w:t>
      </w:r>
      <w:r w:rsidRPr="00A33A28">
        <w:rPr>
          <w:rFonts w:ascii="Times New Roman" w:hAnsi="Times New Roman" w:cs="Times New Roman"/>
          <w:sz w:val="24"/>
          <w:szCs w:val="24"/>
        </w:rPr>
        <w:br/>
        <w:t xml:space="preserve">MF SR, MS SR, MDV SR a MPSVR SR, </w:t>
      </w:r>
      <w:r w:rsidRPr="00A33A28">
        <w:rPr>
          <w:rFonts w:ascii="Times New Roman" w:eastAsia="Times New Roman" w:hAnsi="Times New Roman" w:cs="Times New Roman"/>
          <w:sz w:val="24"/>
          <w:szCs w:val="24"/>
        </w:rPr>
        <w:t>ktorých politiky zásadne ovplyvňujú podnikateľské prostredie.</w:t>
      </w:r>
      <w:r w:rsidRPr="00A33A28">
        <w:rPr>
          <w:rFonts w:ascii="Times New Roman" w:hAnsi="Times New Roman" w:cs="Times New Roman"/>
          <w:sz w:val="24"/>
          <w:szCs w:val="24"/>
        </w:rPr>
        <w:t xml:space="preserve"> Nedostatky v uvedených oblastiach by mala odstrániť tvorba regulácií podľa RIA 2020 – Stratégie lepšej regulácie, ktorá sa bude implementovať do roku 2020 a bude sprevádzaná nielen sériou školení pre štátnu správu aj verejnosť, ale aj mnohými pilotnými projektmi tvorby a posudzovania regulácií. Zmenu by mali vyvolať aj rôzne, i keď čiastkové aktivity vo vzťahu k odbúraniu neopodstatnených dokladov a dodržiavaniu zásady jedenkrát a dosť. Ďalším zdrojom pozitívnych zmien sú opatrenia na zlepšenie podnikateľského prostredia, na ktorých spolupracuje MH SR prostredníctvom Medzirezortnej pracovnej skupiny na najvyššej úrovni pre </w:t>
      </w:r>
      <w:proofErr w:type="spellStart"/>
      <w:r w:rsidRPr="00A33A28">
        <w:rPr>
          <w:rFonts w:ascii="Times New Roman" w:hAnsi="Times New Roman" w:cs="Times New Roman"/>
          <w:sz w:val="24"/>
          <w:szCs w:val="24"/>
        </w:rPr>
        <w:t>Doing</w:t>
      </w:r>
      <w:proofErr w:type="spellEnd"/>
      <w:r w:rsidRPr="00A33A28">
        <w:rPr>
          <w:rFonts w:ascii="Times New Roman" w:hAnsi="Times New Roman" w:cs="Times New Roman"/>
          <w:sz w:val="24"/>
          <w:szCs w:val="24"/>
        </w:rPr>
        <w:t xml:space="preserve"> Business so všetkými ústrednými orgánmi štátnej správy. Dlhodobo si tiež uvedomuje </w:t>
      </w:r>
    </w:p>
    <w:p w14:paraId="447286B9" w14:textId="368A18C3" w:rsidR="00070D19" w:rsidRPr="00A33A28" w:rsidRDefault="00070D19" w:rsidP="00070D19">
      <w:pPr>
        <w:spacing w:before="240" w:line="240" w:lineRule="auto"/>
        <w:ind w:firstLine="709"/>
        <w:jc w:val="both"/>
        <w:rPr>
          <w:rFonts w:ascii="Times New Roman" w:hAnsi="Times New Roman" w:cs="Times New Roman"/>
          <w:vanish/>
          <w:sz w:val="24"/>
          <w:szCs w:val="24"/>
          <w:specVanish/>
        </w:rPr>
      </w:pPr>
      <w:r w:rsidRPr="00A33A28">
        <w:rPr>
          <w:rFonts w:ascii="Times New Roman" w:hAnsi="Times New Roman" w:cs="Times New Roman"/>
          <w:sz w:val="24"/>
          <w:szCs w:val="24"/>
        </w:rPr>
        <w:lastRenderedPageBreak/>
        <w:t>potrebu investícií, ktoré by odstránili prehlbujúce sa rozdiely medzi príchodom investorov na západné Slovensko a ostatnými regiónmi. Mimo uvedených snáh MH SR pracuje na zvýšení atraktivity regiónov pre investorov.   </w:t>
      </w:r>
    </w:p>
    <w:p w14:paraId="78A73E92" w14:textId="77777777" w:rsidR="00070D19" w:rsidRPr="00A33A28" w:rsidRDefault="00070D19" w:rsidP="00070D19">
      <w:pPr>
        <w:spacing w:before="240" w:line="240" w:lineRule="auto"/>
        <w:jc w:val="both"/>
        <w:rPr>
          <w:rFonts w:ascii="Times New Roman" w:hAnsi="Times New Roman" w:cs="Times New Roman"/>
          <w:sz w:val="24"/>
          <w:szCs w:val="24"/>
        </w:rPr>
      </w:pPr>
      <w:r w:rsidRPr="00A33A28">
        <w:rPr>
          <w:rFonts w:ascii="Times New Roman" w:hAnsi="Times New Roman" w:cs="Times New Roman"/>
          <w:sz w:val="24"/>
          <w:szCs w:val="24"/>
        </w:rPr>
        <w:t xml:space="preserve">  </w:t>
      </w:r>
    </w:p>
    <w:p w14:paraId="1B839DA3" w14:textId="77777777" w:rsidR="006765B2" w:rsidRDefault="006765B2" w:rsidP="00070D19">
      <w:pPr>
        <w:tabs>
          <w:tab w:val="left" w:pos="0"/>
        </w:tabs>
        <w:spacing w:after="0" w:line="240" w:lineRule="auto"/>
        <w:contextualSpacing/>
        <w:jc w:val="both"/>
        <w:rPr>
          <w:rFonts w:ascii="Times New Roman" w:hAnsi="Times New Roman" w:cs="Times New Roman"/>
          <w:b/>
          <w:sz w:val="28"/>
          <w:szCs w:val="28"/>
        </w:rPr>
        <w:sectPr w:rsidR="006765B2" w:rsidSect="006765B2">
          <w:footerReference w:type="first" r:id="rId13"/>
          <w:endnotePr>
            <w:numFmt w:val="decimal"/>
          </w:endnotePr>
          <w:pgSz w:w="11906" w:h="16838" w:code="9"/>
          <w:pgMar w:top="851" w:right="1416" w:bottom="709" w:left="1134" w:header="709" w:footer="255" w:gutter="0"/>
          <w:paperSrc w:first="15" w:other="15"/>
          <w:pgNumType w:start="0"/>
          <w:cols w:space="708"/>
          <w:titlePg/>
          <w:docGrid w:linePitch="360"/>
        </w:sectPr>
      </w:pPr>
    </w:p>
    <w:p w14:paraId="1C536A04" w14:textId="4001AE2C" w:rsidR="00070D19" w:rsidRPr="00A33A28" w:rsidRDefault="00070D19" w:rsidP="00070D19">
      <w:pPr>
        <w:tabs>
          <w:tab w:val="left" w:pos="0"/>
        </w:tabs>
        <w:spacing w:after="0" w:line="240" w:lineRule="auto"/>
        <w:contextualSpacing/>
        <w:jc w:val="both"/>
        <w:rPr>
          <w:rFonts w:ascii="Times New Roman" w:hAnsi="Times New Roman" w:cs="Times New Roman"/>
          <w:b/>
          <w:sz w:val="28"/>
          <w:szCs w:val="28"/>
        </w:rPr>
      </w:pPr>
      <w:r w:rsidRPr="00A33A28">
        <w:rPr>
          <w:rFonts w:ascii="Times New Roman" w:hAnsi="Times New Roman" w:cs="Times New Roman"/>
          <w:b/>
          <w:sz w:val="28"/>
          <w:szCs w:val="28"/>
        </w:rPr>
        <w:lastRenderedPageBreak/>
        <w:t>1. Hlavné ukazovatele vývoja podnikateľského prostredia v SR</w:t>
      </w:r>
    </w:p>
    <w:p w14:paraId="4716E435" w14:textId="77777777" w:rsidR="00070D19" w:rsidRPr="00A33A28" w:rsidRDefault="00070D19" w:rsidP="00070D19">
      <w:pPr>
        <w:pStyle w:val="Odsekzoznamu"/>
        <w:ind w:left="1440"/>
        <w:rPr>
          <w:rFonts w:ascii="Times New Roman" w:hAnsi="Times New Roman" w:cs="Times New Roman"/>
          <w:b/>
          <w:sz w:val="28"/>
          <w:szCs w:val="24"/>
        </w:rPr>
      </w:pPr>
    </w:p>
    <w:p w14:paraId="543DAD67" w14:textId="77777777" w:rsidR="00070D19" w:rsidRPr="00A33A28" w:rsidRDefault="00070D19" w:rsidP="00070D19">
      <w:pPr>
        <w:pStyle w:val="Odsekzoznamu"/>
        <w:numPr>
          <w:ilvl w:val="1"/>
          <w:numId w:val="6"/>
        </w:numPr>
        <w:tabs>
          <w:tab w:val="left" w:pos="426"/>
          <w:tab w:val="left" w:pos="567"/>
        </w:tabs>
        <w:ind w:hanging="1440"/>
        <w:rPr>
          <w:rFonts w:ascii="Times New Roman" w:hAnsi="Times New Roman" w:cs="Times New Roman"/>
          <w:b/>
          <w:sz w:val="24"/>
          <w:szCs w:val="24"/>
        </w:rPr>
      </w:pPr>
      <w:r w:rsidRPr="00A33A28">
        <w:rPr>
          <w:rFonts w:ascii="Times New Roman" w:hAnsi="Times New Roman" w:cs="Times New Roman"/>
          <w:b/>
          <w:sz w:val="24"/>
          <w:szCs w:val="24"/>
        </w:rPr>
        <w:t>Štruktúra podnikateľského prostredia</w:t>
      </w:r>
    </w:p>
    <w:p w14:paraId="5D3234B0" w14:textId="77777777" w:rsidR="00070D19" w:rsidRPr="00A33A28" w:rsidRDefault="00070D19" w:rsidP="00070D19">
      <w:pPr>
        <w:autoSpaceDE w:val="0"/>
        <w:autoSpaceDN w:val="0"/>
        <w:adjustRightInd w:val="0"/>
        <w:spacing w:after="0" w:line="240" w:lineRule="auto"/>
        <w:ind w:firstLine="709"/>
        <w:jc w:val="both"/>
        <w:rPr>
          <w:rFonts w:ascii="Times New Roman" w:hAnsi="Times New Roman" w:cs="Times New Roman"/>
          <w:sz w:val="24"/>
          <w:szCs w:val="24"/>
        </w:rPr>
      </w:pPr>
    </w:p>
    <w:p w14:paraId="6A1C2FD5" w14:textId="77777777" w:rsidR="00070D19" w:rsidRPr="00A33A28" w:rsidRDefault="00070D19" w:rsidP="00070D19">
      <w:pPr>
        <w:autoSpaceDE w:val="0"/>
        <w:autoSpaceDN w:val="0"/>
        <w:adjustRightInd w:val="0"/>
        <w:spacing w:after="0" w:line="240" w:lineRule="auto"/>
        <w:ind w:firstLine="709"/>
        <w:jc w:val="both"/>
        <w:rPr>
          <w:rFonts w:ascii="Times New Roman" w:hAnsi="Times New Roman" w:cs="Times New Roman"/>
          <w:sz w:val="24"/>
          <w:szCs w:val="24"/>
        </w:rPr>
      </w:pPr>
      <w:r w:rsidRPr="00A33A28">
        <w:rPr>
          <w:rFonts w:ascii="Times New Roman" w:hAnsi="Times New Roman" w:cs="Times New Roman"/>
          <w:sz w:val="24"/>
          <w:szCs w:val="24"/>
        </w:rPr>
        <w:t xml:space="preserve">V tejto časti správy je pozornosť sústredená na štruktúru podnikateľského prostredia </w:t>
      </w:r>
      <w:r w:rsidRPr="00A33A28">
        <w:rPr>
          <w:rFonts w:ascii="Times New Roman" w:hAnsi="Times New Roman" w:cs="Times New Roman"/>
          <w:sz w:val="24"/>
          <w:szCs w:val="24"/>
        </w:rPr>
        <w:br/>
        <w:t xml:space="preserve">z pohľadu členenia aktívnych podnikateľských subjektov podľa jednotlivých právnych foriem </w:t>
      </w:r>
      <w:r w:rsidRPr="00A33A28">
        <w:rPr>
          <w:rFonts w:ascii="Times New Roman" w:hAnsi="Times New Roman" w:cs="Times New Roman"/>
          <w:sz w:val="24"/>
          <w:szCs w:val="24"/>
        </w:rPr>
        <w:br/>
        <w:t>a veľkostných kategórií.</w:t>
      </w:r>
    </w:p>
    <w:p w14:paraId="5663EDCC" w14:textId="77777777" w:rsidR="00070D19" w:rsidRPr="00A33A28" w:rsidRDefault="00070D19" w:rsidP="00070D19">
      <w:pPr>
        <w:autoSpaceDE w:val="0"/>
        <w:autoSpaceDN w:val="0"/>
        <w:adjustRightInd w:val="0"/>
        <w:spacing w:after="0" w:line="240" w:lineRule="auto"/>
        <w:ind w:firstLine="709"/>
        <w:jc w:val="both"/>
        <w:rPr>
          <w:rFonts w:ascii="Times New Roman" w:hAnsi="Times New Roman" w:cs="Times New Roman"/>
          <w:sz w:val="24"/>
          <w:szCs w:val="24"/>
        </w:rPr>
      </w:pPr>
      <w:r w:rsidRPr="00A33A28">
        <w:rPr>
          <w:rFonts w:ascii="Times New Roman" w:hAnsi="Times New Roman" w:cs="Times New Roman"/>
          <w:sz w:val="24"/>
          <w:szCs w:val="24"/>
        </w:rPr>
        <w:t xml:space="preserve">K 31. 12. 2016 bolo na Slovensku 557 758 podnikateľských subjektov evidovaných Štatistickým úradom SR (ďalej len „ŠÚ SR“), čo predstavuje nárast o niečo viac než 26 000 podnikateľských subjektov za rok. Väčšinu z nich tvorili </w:t>
      </w:r>
      <w:proofErr w:type="spellStart"/>
      <w:r w:rsidRPr="00A33A28">
        <w:rPr>
          <w:rFonts w:ascii="Times New Roman" w:hAnsi="Times New Roman" w:cs="Times New Roman"/>
          <w:sz w:val="24"/>
          <w:szCs w:val="24"/>
        </w:rPr>
        <w:t>mikropodniky</w:t>
      </w:r>
      <w:proofErr w:type="spellEnd"/>
      <w:r w:rsidRPr="00A33A28">
        <w:rPr>
          <w:rFonts w:ascii="Times New Roman" w:hAnsi="Times New Roman" w:cs="Times New Roman"/>
          <w:sz w:val="24"/>
          <w:szCs w:val="24"/>
        </w:rPr>
        <w:t xml:space="preserve">, predstavujúce 97,1 % </w:t>
      </w:r>
      <w:r w:rsidRPr="00A33A28">
        <w:rPr>
          <w:rFonts w:ascii="Times New Roman" w:hAnsi="Times New Roman" w:cs="Times New Roman"/>
          <w:sz w:val="24"/>
          <w:szCs w:val="24"/>
        </w:rPr>
        <w:br/>
        <w:t>zo všetkých subjektov. Malých podnikov bolo evidovaných 12 662 (2,3 %). Stredných podnikov bolo 2 741 (0,5 %) a veľké podniky tvorili najmenšiu časť s celkovým počtom 636 subjektov (0,1 %). V skupine malých a stredných podnikov bolo evidovaných dokopy 557 122 subjektov.</w:t>
      </w:r>
    </w:p>
    <w:p w14:paraId="52A688C5" w14:textId="77777777" w:rsidR="00070D19" w:rsidRPr="00A33A28" w:rsidRDefault="00070D19" w:rsidP="00070D19">
      <w:pPr>
        <w:autoSpaceDE w:val="0"/>
        <w:autoSpaceDN w:val="0"/>
        <w:adjustRightInd w:val="0"/>
        <w:spacing w:after="0" w:line="240" w:lineRule="auto"/>
        <w:jc w:val="both"/>
        <w:rPr>
          <w:rFonts w:ascii="Times New Roman" w:hAnsi="Times New Roman" w:cs="Times New Roman"/>
          <w:b/>
          <w:bCs/>
          <w:szCs w:val="24"/>
        </w:rPr>
      </w:pPr>
    </w:p>
    <w:p w14:paraId="59D9C95A" w14:textId="77777777" w:rsidR="00070D19" w:rsidRPr="00A33A28" w:rsidRDefault="00070D19" w:rsidP="00070D19">
      <w:pPr>
        <w:autoSpaceDE w:val="0"/>
        <w:autoSpaceDN w:val="0"/>
        <w:adjustRightInd w:val="0"/>
        <w:spacing w:after="0" w:line="240" w:lineRule="auto"/>
        <w:jc w:val="both"/>
        <w:rPr>
          <w:rFonts w:ascii="Times New Roman" w:hAnsi="Times New Roman" w:cs="Times New Roman"/>
          <w:b/>
          <w:bCs/>
          <w:szCs w:val="24"/>
        </w:rPr>
      </w:pPr>
      <w:r w:rsidRPr="00A33A28">
        <w:rPr>
          <w:rFonts w:ascii="Times New Roman" w:hAnsi="Times New Roman" w:cs="Times New Roman"/>
          <w:b/>
          <w:bCs/>
          <w:szCs w:val="24"/>
        </w:rPr>
        <w:t>Tabuľka č. 1.1: Počet aktívnych podnikateľských subjektov podľa jednotlivých právnych foriem a veľkostných kategórií podnikov k 31. 12. 2016</w:t>
      </w:r>
    </w:p>
    <w:tbl>
      <w:tblPr>
        <w:tblW w:w="8954"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64"/>
        <w:gridCol w:w="1240"/>
        <w:gridCol w:w="1196"/>
        <w:gridCol w:w="1074"/>
        <w:gridCol w:w="1060"/>
        <w:gridCol w:w="1040"/>
        <w:gridCol w:w="980"/>
      </w:tblGrid>
      <w:tr w:rsidR="00070D19" w:rsidRPr="00A33A28" w14:paraId="68EE30F0" w14:textId="77777777" w:rsidTr="00653141">
        <w:trPr>
          <w:trHeight w:val="330"/>
        </w:trPr>
        <w:tc>
          <w:tcPr>
            <w:tcW w:w="2364" w:type="dxa"/>
            <w:vMerge w:val="restart"/>
            <w:shd w:val="clear" w:color="auto" w:fill="548DD4" w:themeFill="text2" w:themeFillTint="99"/>
            <w:noWrap/>
            <w:vAlign w:val="center"/>
            <w:hideMark/>
          </w:tcPr>
          <w:p w14:paraId="130E6F18" w14:textId="77777777" w:rsidR="00070D19" w:rsidRPr="00A33A28" w:rsidRDefault="00070D19" w:rsidP="00653141">
            <w:pPr>
              <w:spacing w:after="0" w:line="240" w:lineRule="auto"/>
              <w:jc w:val="center"/>
              <w:rPr>
                <w:rFonts w:ascii="Times New Roman" w:hAnsi="Times New Roman" w:cs="Times New Roman"/>
                <w:b/>
                <w:bCs/>
                <w:color w:val="000000"/>
                <w:sz w:val="20"/>
                <w:szCs w:val="20"/>
                <w:lang w:eastAsia="sk-SK"/>
              </w:rPr>
            </w:pPr>
            <w:r w:rsidRPr="00A33A28">
              <w:rPr>
                <w:rFonts w:ascii="Times New Roman" w:hAnsi="Times New Roman" w:cs="Times New Roman"/>
                <w:b/>
                <w:bCs/>
                <w:color w:val="000000"/>
                <w:sz w:val="20"/>
                <w:szCs w:val="20"/>
                <w:lang w:eastAsia="sk-SK"/>
              </w:rPr>
              <w:t>Veľkostné kategórie/ právne formy</w:t>
            </w:r>
          </w:p>
        </w:tc>
        <w:tc>
          <w:tcPr>
            <w:tcW w:w="1240" w:type="dxa"/>
            <w:vMerge w:val="restart"/>
            <w:shd w:val="clear" w:color="auto" w:fill="548DD4" w:themeFill="text2" w:themeFillTint="99"/>
            <w:noWrap/>
            <w:vAlign w:val="center"/>
            <w:hideMark/>
          </w:tcPr>
          <w:p w14:paraId="2BC8A6B0" w14:textId="77777777" w:rsidR="00070D19" w:rsidRPr="00A33A28" w:rsidRDefault="00070D19" w:rsidP="00653141">
            <w:pPr>
              <w:spacing w:after="0" w:line="240" w:lineRule="auto"/>
              <w:jc w:val="center"/>
              <w:rPr>
                <w:rFonts w:ascii="Times New Roman" w:hAnsi="Times New Roman" w:cs="Times New Roman"/>
                <w:b/>
                <w:bCs/>
                <w:color w:val="000000"/>
                <w:sz w:val="20"/>
                <w:szCs w:val="20"/>
                <w:lang w:eastAsia="sk-SK"/>
              </w:rPr>
            </w:pPr>
            <w:r w:rsidRPr="00A33A28">
              <w:rPr>
                <w:rFonts w:ascii="Times New Roman" w:hAnsi="Times New Roman" w:cs="Times New Roman"/>
                <w:b/>
                <w:bCs/>
                <w:color w:val="000000"/>
                <w:sz w:val="20"/>
                <w:szCs w:val="20"/>
                <w:lang w:eastAsia="sk-SK"/>
              </w:rPr>
              <w:t>Podniky</w:t>
            </w:r>
          </w:p>
        </w:tc>
        <w:tc>
          <w:tcPr>
            <w:tcW w:w="1196" w:type="dxa"/>
            <w:vMerge w:val="restart"/>
            <w:shd w:val="clear" w:color="auto" w:fill="548DD4" w:themeFill="text2" w:themeFillTint="99"/>
            <w:noWrap/>
            <w:vAlign w:val="center"/>
            <w:hideMark/>
          </w:tcPr>
          <w:p w14:paraId="4BAF85E7" w14:textId="77777777" w:rsidR="00070D19" w:rsidRPr="00A33A28" w:rsidRDefault="00070D19" w:rsidP="00653141">
            <w:pPr>
              <w:spacing w:after="0" w:line="240" w:lineRule="auto"/>
              <w:jc w:val="center"/>
              <w:rPr>
                <w:rFonts w:ascii="Times New Roman" w:hAnsi="Times New Roman" w:cs="Times New Roman"/>
                <w:b/>
                <w:bCs/>
                <w:color w:val="000000"/>
                <w:sz w:val="20"/>
                <w:szCs w:val="20"/>
                <w:lang w:eastAsia="sk-SK"/>
              </w:rPr>
            </w:pPr>
            <w:r w:rsidRPr="00A33A28">
              <w:rPr>
                <w:rFonts w:ascii="Times New Roman" w:hAnsi="Times New Roman" w:cs="Times New Roman"/>
                <w:b/>
                <w:bCs/>
                <w:color w:val="000000"/>
                <w:sz w:val="20"/>
                <w:szCs w:val="20"/>
                <w:lang w:eastAsia="sk-SK"/>
              </w:rPr>
              <w:t>Živnostníci</w:t>
            </w:r>
          </w:p>
        </w:tc>
        <w:tc>
          <w:tcPr>
            <w:tcW w:w="1074" w:type="dxa"/>
            <w:vMerge w:val="restart"/>
            <w:shd w:val="clear" w:color="auto" w:fill="548DD4" w:themeFill="text2" w:themeFillTint="99"/>
            <w:noWrap/>
            <w:vAlign w:val="center"/>
            <w:hideMark/>
          </w:tcPr>
          <w:p w14:paraId="27B0D233" w14:textId="77777777" w:rsidR="00070D19" w:rsidRPr="00A33A28" w:rsidRDefault="00070D19" w:rsidP="00653141">
            <w:pPr>
              <w:spacing w:after="0" w:line="240" w:lineRule="auto"/>
              <w:jc w:val="center"/>
              <w:rPr>
                <w:rFonts w:ascii="Times New Roman" w:hAnsi="Times New Roman" w:cs="Times New Roman"/>
                <w:b/>
                <w:bCs/>
                <w:color w:val="000000"/>
                <w:sz w:val="20"/>
                <w:szCs w:val="20"/>
                <w:lang w:eastAsia="sk-SK"/>
              </w:rPr>
            </w:pPr>
            <w:r w:rsidRPr="00A33A28">
              <w:rPr>
                <w:rFonts w:ascii="Times New Roman" w:hAnsi="Times New Roman" w:cs="Times New Roman"/>
                <w:b/>
                <w:bCs/>
                <w:color w:val="000000"/>
                <w:sz w:val="20"/>
                <w:szCs w:val="20"/>
                <w:lang w:eastAsia="sk-SK"/>
              </w:rPr>
              <w:t>Slobodné povolania</w:t>
            </w:r>
          </w:p>
        </w:tc>
        <w:tc>
          <w:tcPr>
            <w:tcW w:w="1060" w:type="dxa"/>
            <w:vMerge w:val="restart"/>
            <w:shd w:val="clear" w:color="auto" w:fill="548DD4" w:themeFill="text2" w:themeFillTint="99"/>
            <w:noWrap/>
            <w:vAlign w:val="center"/>
            <w:hideMark/>
          </w:tcPr>
          <w:p w14:paraId="457CBBDA" w14:textId="77777777" w:rsidR="00070D19" w:rsidRPr="00A33A28" w:rsidRDefault="00070D19" w:rsidP="00653141">
            <w:pPr>
              <w:spacing w:after="0" w:line="240" w:lineRule="auto"/>
              <w:jc w:val="center"/>
              <w:rPr>
                <w:rFonts w:ascii="Times New Roman" w:hAnsi="Times New Roman" w:cs="Times New Roman"/>
                <w:b/>
                <w:bCs/>
                <w:color w:val="000000"/>
                <w:sz w:val="20"/>
                <w:szCs w:val="20"/>
                <w:lang w:eastAsia="sk-SK"/>
              </w:rPr>
            </w:pPr>
            <w:r w:rsidRPr="00A33A28">
              <w:rPr>
                <w:rFonts w:ascii="Times New Roman" w:hAnsi="Times New Roman" w:cs="Times New Roman"/>
                <w:b/>
                <w:bCs/>
                <w:color w:val="000000"/>
                <w:sz w:val="20"/>
                <w:szCs w:val="20"/>
                <w:lang w:eastAsia="sk-SK"/>
              </w:rPr>
              <w:t>SHR</w:t>
            </w:r>
          </w:p>
        </w:tc>
        <w:tc>
          <w:tcPr>
            <w:tcW w:w="2020" w:type="dxa"/>
            <w:gridSpan w:val="2"/>
            <w:shd w:val="clear" w:color="auto" w:fill="548DD4" w:themeFill="text2" w:themeFillTint="99"/>
            <w:noWrap/>
            <w:vAlign w:val="center"/>
            <w:hideMark/>
          </w:tcPr>
          <w:p w14:paraId="5D3F856B" w14:textId="77777777" w:rsidR="00070D19" w:rsidRPr="00A33A28" w:rsidRDefault="00070D19" w:rsidP="00653141">
            <w:pPr>
              <w:spacing w:after="0" w:line="240" w:lineRule="auto"/>
              <w:jc w:val="center"/>
              <w:rPr>
                <w:rFonts w:ascii="Times New Roman" w:hAnsi="Times New Roman" w:cs="Times New Roman"/>
                <w:b/>
                <w:bCs/>
                <w:color w:val="000000"/>
                <w:sz w:val="20"/>
                <w:szCs w:val="20"/>
                <w:lang w:eastAsia="sk-SK"/>
              </w:rPr>
            </w:pPr>
            <w:r w:rsidRPr="00A33A28">
              <w:rPr>
                <w:rFonts w:ascii="Times New Roman" w:hAnsi="Times New Roman" w:cs="Times New Roman"/>
                <w:b/>
                <w:bCs/>
                <w:color w:val="000000"/>
                <w:sz w:val="20"/>
                <w:szCs w:val="20"/>
                <w:lang w:eastAsia="sk-SK"/>
              </w:rPr>
              <w:t>SPOLU</w:t>
            </w:r>
          </w:p>
        </w:tc>
      </w:tr>
      <w:tr w:rsidR="00070D19" w:rsidRPr="00A33A28" w14:paraId="6653A35D" w14:textId="77777777" w:rsidTr="00653141">
        <w:trPr>
          <w:trHeight w:val="315"/>
        </w:trPr>
        <w:tc>
          <w:tcPr>
            <w:tcW w:w="2364" w:type="dxa"/>
            <w:vMerge/>
            <w:shd w:val="clear" w:color="auto" w:fill="548DD4" w:themeFill="text2" w:themeFillTint="99"/>
            <w:vAlign w:val="center"/>
            <w:hideMark/>
          </w:tcPr>
          <w:p w14:paraId="14D84394" w14:textId="77777777" w:rsidR="00070D19" w:rsidRPr="00A33A28" w:rsidRDefault="00070D19" w:rsidP="00653141">
            <w:pPr>
              <w:spacing w:after="0" w:line="240" w:lineRule="auto"/>
              <w:jc w:val="center"/>
              <w:rPr>
                <w:rFonts w:ascii="Times New Roman" w:hAnsi="Times New Roman" w:cs="Times New Roman"/>
                <w:b/>
                <w:bCs/>
                <w:color w:val="000000"/>
                <w:sz w:val="20"/>
                <w:szCs w:val="20"/>
                <w:lang w:eastAsia="sk-SK"/>
              </w:rPr>
            </w:pPr>
          </w:p>
        </w:tc>
        <w:tc>
          <w:tcPr>
            <w:tcW w:w="1240" w:type="dxa"/>
            <w:vMerge/>
            <w:shd w:val="clear" w:color="auto" w:fill="548DD4" w:themeFill="text2" w:themeFillTint="99"/>
            <w:vAlign w:val="center"/>
            <w:hideMark/>
          </w:tcPr>
          <w:p w14:paraId="47A536D1" w14:textId="77777777" w:rsidR="00070D19" w:rsidRPr="00A33A28" w:rsidRDefault="00070D19" w:rsidP="00653141">
            <w:pPr>
              <w:spacing w:after="0" w:line="240" w:lineRule="auto"/>
              <w:jc w:val="center"/>
              <w:rPr>
                <w:rFonts w:ascii="Times New Roman" w:hAnsi="Times New Roman" w:cs="Times New Roman"/>
                <w:b/>
                <w:bCs/>
                <w:color w:val="000000"/>
                <w:sz w:val="20"/>
                <w:szCs w:val="20"/>
                <w:lang w:eastAsia="sk-SK"/>
              </w:rPr>
            </w:pPr>
          </w:p>
        </w:tc>
        <w:tc>
          <w:tcPr>
            <w:tcW w:w="1196" w:type="dxa"/>
            <w:vMerge/>
            <w:shd w:val="clear" w:color="auto" w:fill="548DD4" w:themeFill="text2" w:themeFillTint="99"/>
            <w:vAlign w:val="center"/>
            <w:hideMark/>
          </w:tcPr>
          <w:p w14:paraId="2834D6A7" w14:textId="77777777" w:rsidR="00070D19" w:rsidRPr="00A33A28" w:rsidRDefault="00070D19" w:rsidP="00653141">
            <w:pPr>
              <w:spacing w:after="0" w:line="240" w:lineRule="auto"/>
              <w:jc w:val="center"/>
              <w:rPr>
                <w:rFonts w:ascii="Times New Roman" w:hAnsi="Times New Roman" w:cs="Times New Roman"/>
                <w:b/>
                <w:bCs/>
                <w:color w:val="000000"/>
                <w:sz w:val="20"/>
                <w:szCs w:val="20"/>
                <w:lang w:eastAsia="sk-SK"/>
              </w:rPr>
            </w:pPr>
          </w:p>
        </w:tc>
        <w:tc>
          <w:tcPr>
            <w:tcW w:w="1074" w:type="dxa"/>
            <w:vMerge/>
            <w:shd w:val="clear" w:color="auto" w:fill="548DD4" w:themeFill="text2" w:themeFillTint="99"/>
            <w:vAlign w:val="center"/>
            <w:hideMark/>
          </w:tcPr>
          <w:p w14:paraId="0E1B9FA2" w14:textId="77777777" w:rsidR="00070D19" w:rsidRPr="00A33A28" w:rsidRDefault="00070D19" w:rsidP="00653141">
            <w:pPr>
              <w:spacing w:after="0" w:line="240" w:lineRule="auto"/>
              <w:jc w:val="center"/>
              <w:rPr>
                <w:rFonts w:ascii="Times New Roman" w:hAnsi="Times New Roman" w:cs="Times New Roman"/>
                <w:b/>
                <w:bCs/>
                <w:color w:val="000000"/>
                <w:sz w:val="20"/>
                <w:szCs w:val="20"/>
                <w:lang w:eastAsia="sk-SK"/>
              </w:rPr>
            </w:pPr>
          </w:p>
        </w:tc>
        <w:tc>
          <w:tcPr>
            <w:tcW w:w="1060" w:type="dxa"/>
            <w:vMerge/>
            <w:shd w:val="clear" w:color="auto" w:fill="548DD4" w:themeFill="text2" w:themeFillTint="99"/>
            <w:vAlign w:val="center"/>
            <w:hideMark/>
          </w:tcPr>
          <w:p w14:paraId="54C7D0F5" w14:textId="77777777" w:rsidR="00070D19" w:rsidRPr="00A33A28" w:rsidRDefault="00070D19" w:rsidP="00653141">
            <w:pPr>
              <w:spacing w:after="0" w:line="240" w:lineRule="auto"/>
              <w:jc w:val="center"/>
              <w:rPr>
                <w:rFonts w:ascii="Times New Roman" w:hAnsi="Times New Roman" w:cs="Times New Roman"/>
                <w:b/>
                <w:bCs/>
                <w:color w:val="000000"/>
                <w:sz w:val="20"/>
                <w:szCs w:val="20"/>
                <w:lang w:eastAsia="sk-SK"/>
              </w:rPr>
            </w:pPr>
          </w:p>
        </w:tc>
        <w:tc>
          <w:tcPr>
            <w:tcW w:w="1040" w:type="dxa"/>
            <w:shd w:val="clear" w:color="auto" w:fill="548DD4" w:themeFill="text2" w:themeFillTint="99"/>
            <w:noWrap/>
            <w:vAlign w:val="center"/>
            <w:hideMark/>
          </w:tcPr>
          <w:p w14:paraId="10A82F4F" w14:textId="77777777" w:rsidR="00070D19" w:rsidRPr="00A33A28" w:rsidRDefault="00070D19" w:rsidP="00653141">
            <w:pPr>
              <w:spacing w:after="0" w:line="240" w:lineRule="auto"/>
              <w:jc w:val="center"/>
              <w:rPr>
                <w:rFonts w:ascii="Times New Roman" w:hAnsi="Times New Roman" w:cs="Times New Roman"/>
                <w:b/>
                <w:bCs/>
                <w:color w:val="000000"/>
                <w:sz w:val="20"/>
                <w:szCs w:val="20"/>
                <w:lang w:eastAsia="sk-SK"/>
              </w:rPr>
            </w:pPr>
            <w:proofErr w:type="spellStart"/>
            <w:r w:rsidRPr="00A33A28">
              <w:rPr>
                <w:rFonts w:ascii="Times New Roman" w:hAnsi="Times New Roman" w:cs="Times New Roman"/>
                <w:b/>
                <w:bCs/>
                <w:color w:val="000000"/>
                <w:sz w:val="20"/>
                <w:szCs w:val="20"/>
                <w:lang w:eastAsia="sk-SK"/>
              </w:rPr>
              <w:t>abs</w:t>
            </w:r>
            <w:proofErr w:type="spellEnd"/>
            <w:r w:rsidRPr="00A33A28">
              <w:rPr>
                <w:rFonts w:ascii="Times New Roman" w:hAnsi="Times New Roman" w:cs="Times New Roman"/>
                <w:b/>
                <w:bCs/>
                <w:color w:val="000000"/>
                <w:sz w:val="20"/>
                <w:szCs w:val="20"/>
                <w:lang w:eastAsia="sk-SK"/>
              </w:rPr>
              <w:t>.</w:t>
            </w:r>
          </w:p>
        </w:tc>
        <w:tc>
          <w:tcPr>
            <w:tcW w:w="980" w:type="dxa"/>
            <w:shd w:val="clear" w:color="auto" w:fill="548DD4" w:themeFill="text2" w:themeFillTint="99"/>
            <w:noWrap/>
            <w:vAlign w:val="center"/>
            <w:hideMark/>
          </w:tcPr>
          <w:p w14:paraId="1F2B972F" w14:textId="77777777" w:rsidR="00070D19" w:rsidRPr="00A33A28" w:rsidRDefault="00070D19" w:rsidP="00653141">
            <w:pPr>
              <w:spacing w:after="0" w:line="240" w:lineRule="auto"/>
              <w:jc w:val="center"/>
              <w:rPr>
                <w:rFonts w:ascii="Times New Roman" w:hAnsi="Times New Roman" w:cs="Times New Roman"/>
                <w:b/>
                <w:bCs/>
                <w:color w:val="000000"/>
                <w:sz w:val="20"/>
                <w:szCs w:val="20"/>
                <w:lang w:eastAsia="sk-SK"/>
              </w:rPr>
            </w:pPr>
            <w:r w:rsidRPr="00A33A28">
              <w:rPr>
                <w:rFonts w:ascii="Times New Roman" w:hAnsi="Times New Roman" w:cs="Times New Roman"/>
                <w:b/>
                <w:bCs/>
                <w:color w:val="000000"/>
                <w:sz w:val="20"/>
                <w:szCs w:val="20"/>
                <w:lang w:eastAsia="sk-SK"/>
              </w:rPr>
              <w:t>v %</w:t>
            </w:r>
          </w:p>
        </w:tc>
      </w:tr>
      <w:tr w:rsidR="00070D19" w:rsidRPr="00A33A28" w14:paraId="26D12EE4" w14:textId="77777777" w:rsidTr="00653141">
        <w:trPr>
          <w:trHeight w:val="330"/>
        </w:trPr>
        <w:tc>
          <w:tcPr>
            <w:tcW w:w="2364" w:type="dxa"/>
            <w:shd w:val="clear" w:color="auto" w:fill="auto"/>
            <w:noWrap/>
            <w:vAlign w:val="center"/>
            <w:hideMark/>
          </w:tcPr>
          <w:p w14:paraId="31AF16F4" w14:textId="77777777" w:rsidR="00070D19" w:rsidRPr="00A33A28" w:rsidRDefault="00070D19" w:rsidP="00653141">
            <w:pPr>
              <w:spacing w:after="0" w:line="240" w:lineRule="auto"/>
              <w:jc w:val="center"/>
              <w:rPr>
                <w:rFonts w:ascii="Times New Roman" w:hAnsi="Times New Roman" w:cs="Times New Roman"/>
                <w:color w:val="000000"/>
                <w:sz w:val="20"/>
                <w:szCs w:val="20"/>
                <w:lang w:eastAsia="sk-SK"/>
              </w:rPr>
            </w:pPr>
            <w:proofErr w:type="spellStart"/>
            <w:r w:rsidRPr="00A33A28">
              <w:rPr>
                <w:rFonts w:ascii="Times New Roman" w:hAnsi="Times New Roman" w:cs="Times New Roman"/>
                <w:color w:val="000000"/>
                <w:sz w:val="20"/>
                <w:szCs w:val="20"/>
                <w:lang w:eastAsia="sk-SK"/>
              </w:rPr>
              <w:t>Mikropodniky</w:t>
            </w:r>
            <w:proofErr w:type="spellEnd"/>
            <w:r w:rsidRPr="00A33A28">
              <w:rPr>
                <w:rFonts w:ascii="Times New Roman" w:hAnsi="Times New Roman" w:cs="Times New Roman"/>
                <w:color w:val="000000"/>
                <w:sz w:val="20"/>
                <w:szCs w:val="20"/>
                <w:lang w:eastAsia="sk-SK"/>
              </w:rPr>
              <w:t xml:space="preserve"> (0 – 9)</w:t>
            </w:r>
          </w:p>
        </w:tc>
        <w:tc>
          <w:tcPr>
            <w:tcW w:w="1240" w:type="dxa"/>
            <w:shd w:val="clear" w:color="auto" w:fill="auto"/>
            <w:noWrap/>
            <w:vAlign w:val="center"/>
            <w:hideMark/>
          </w:tcPr>
          <w:p w14:paraId="25106542" w14:textId="77777777" w:rsidR="00070D19" w:rsidRPr="00A33A28" w:rsidRDefault="00070D19" w:rsidP="00653141">
            <w:pPr>
              <w:spacing w:after="0" w:line="240" w:lineRule="auto"/>
              <w:jc w:val="center"/>
              <w:rPr>
                <w:rFonts w:ascii="Times New Roman" w:hAnsi="Times New Roman" w:cs="Times New Roman"/>
                <w:color w:val="000000"/>
                <w:sz w:val="20"/>
                <w:szCs w:val="20"/>
                <w:lang w:eastAsia="sk-SK"/>
              </w:rPr>
            </w:pPr>
            <w:r w:rsidRPr="00A33A28">
              <w:rPr>
                <w:rFonts w:ascii="Times New Roman" w:hAnsi="Times New Roman" w:cs="Times New Roman"/>
                <w:color w:val="000000"/>
                <w:sz w:val="20"/>
                <w:szCs w:val="20"/>
                <w:lang w:eastAsia="sk-SK"/>
              </w:rPr>
              <w:t>196 006</w:t>
            </w:r>
          </w:p>
        </w:tc>
        <w:tc>
          <w:tcPr>
            <w:tcW w:w="1196" w:type="dxa"/>
            <w:shd w:val="clear" w:color="auto" w:fill="auto"/>
            <w:noWrap/>
            <w:vAlign w:val="center"/>
            <w:hideMark/>
          </w:tcPr>
          <w:p w14:paraId="01096DEC" w14:textId="77777777" w:rsidR="00070D19" w:rsidRPr="00A33A28" w:rsidRDefault="00070D19" w:rsidP="00653141">
            <w:pPr>
              <w:spacing w:after="0" w:line="240" w:lineRule="auto"/>
              <w:jc w:val="center"/>
              <w:rPr>
                <w:rFonts w:ascii="Times New Roman" w:hAnsi="Times New Roman" w:cs="Times New Roman"/>
                <w:color w:val="000000"/>
                <w:sz w:val="20"/>
                <w:szCs w:val="20"/>
                <w:lang w:eastAsia="sk-SK"/>
              </w:rPr>
            </w:pPr>
            <w:r w:rsidRPr="00A33A28">
              <w:rPr>
                <w:rFonts w:ascii="Times New Roman" w:hAnsi="Times New Roman" w:cs="Times New Roman"/>
                <w:color w:val="000000"/>
                <w:sz w:val="20"/>
                <w:szCs w:val="20"/>
                <w:lang w:eastAsia="sk-SK"/>
              </w:rPr>
              <w:t>321 738</w:t>
            </w:r>
          </w:p>
        </w:tc>
        <w:tc>
          <w:tcPr>
            <w:tcW w:w="1074" w:type="dxa"/>
            <w:shd w:val="clear" w:color="auto" w:fill="auto"/>
            <w:vAlign w:val="center"/>
          </w:tcPr>
          <w:p w14:paraId="61CA9B26" w14:textId="77777777" w:rsidR="00070D19" w:rsidRPr="00A33A28" w:rsidRDefault="00070D19" w:rsidP="00653141">
            <w:pPr>
              <w:spacing w:after="0" w:line="240" w:lineRule="auto"/>
              <w:jc w:val="center"/>
              <w:rPr>
                <w:rFonts w:ascii="Times New Roman" w:hAnsi="Times New Roman" w:cs="Times New Roman"/>
                <w:color w:val="000000"/>
                <w:sz w:val="20"/>
                <w:szCs w:val="20"/>
                <w:lang w:eastAsia="sk-SK"/>
              </w:rPr>
            </w:pPr>
            <w:r w:rsidRPr="00A33A28">
              <w:rPr>
                <w:rFonts w:ascii="Times New Roman" w:hAnsi="Times New Roman" w:cs="Times New Roman"/>
                <w:color w:val="000000"/>
                <w:sz w:val="20"/>
                <w:szCs w:val="20"/>
                <w:lang w:eastAsia="sk-SK"/>
              </w:rPr>
              <w:t>18 512</w:t>
            </w:r>
          </w:p>
        </w:tc>
        <w:tc>
          <w:tcPr>
            <w:tcW w:w="1060" w:type="dxa"/>
            <w:shd w:val="clear" w:color="auto" w:fill="auto"/>
            <w:vAlign w:val="center"/>
          </w:tcPr>
          <w:p w14:paraId="34AEE549" w14:textId="77777777" w:rsidR="00070D19" w:rsidRPr="00A33A28" w:rsidRDefault="00070D19" w:rsidP="00653141">
            <w:pPr>
              <w:spacing w:after="0" w:line="240" w:lineRule="auto"/>
              <w:jc w:val="center"/>
              <w:rPr>
                <w:rFonts w:ascii="Times New Roman" w:hAnsi="Times New Roman" w:cs="Times New Roman"/>
                <w:color w:val="000000"/>
                <w:sz w:val="20"/>
                <w:szCs w:val="20"/>
                <w:lang w:eastAsia="sk-SK"/>
              </w:rPr>
            </w:pPr>
            <w:r w:rsidRPr="00A33A28">
              <w:rPr>
                <w:rFonts w:ascii="Times New Roman" w:hAnsi="Times New Roman" w:cs="Times New Roman"/>
                <w:color w:val="000000"/>
                <w:sz w:val="20"/>
                <w:szCs w:val="20"/>
                <w:lang w:eastAsia="sk-SK"/>
              </w:rPr>
              <w:t>5 463</w:t>
            </w:r>
          </w:p>
        </w:tc>
        <w:tc>
          <w:tcPr>
            <w:tcW w:w="1040" w:type="dxa"/>
            <w:shd w:val="clear" w:color="auto" w:fill="auto"/>
            <w:noWrap/>
            <w:vAlign w:val="center"/>
          </w:tcPr>
          <w:p w14:paraId="349EF6B7" w14:textId="77777777" w:rsidR="00070D19" w:rsidRPr="00A33A28" w:rsidRDefault="00070D19" w:rsidP="00653141">
            <w:pPr>
              <w:spacing w:after="0" w:line="240" w:lineRule="auto"/>
              <w:jc w:val="center"/>
              <w:rPr>
                <w:rFonts w:ascii="Times New Roman" w:hAnsi="Times New Roman" w:cs="Times New Roman"/>
                <w:color w:val="000000"/>
                <w:sz w:val="20"/>
                <w:szCs w:val="20"/>
                <w:lang w:eastAsia="sk-SK"/>
              </w:rPr>
            </w:pPr>
            <w:r w:rsidRPr="00A33A28">
              <w:rPr>
                <w:rFonts w:ascii="Times New Roman" w:hAnsi="Times New Roman" w:cs="Times New Roman"/>
                <w:color w:val="000000"/>
                <w:sz w:val="20"/>
                <w:szCs w:val="20"/>
                <w:lang w:eastAsia="sk-SK"/>
              </w:rPr>
              <w:t>541 719</w:t>
            </w:r>
          </w:p>
        </w:tc>
        <w:tc>
          <w:tcPr>
            <w:tcW w:w="980" w:type="dxa"/>
            <w:shd w:val="clear" w:color="auto" w:fill="auto"/>
            <w:noWrap/>
            <w:vAlign w:val="center"/>
          </w:tcPr>
          <w:p w14:paraId="516B921C" w14:textId="77777777" w:rsidR="00070D19" w:rsidRPr="00A33A28" w:rsidRDefault="00070D19" w:rsidP="00653141">
            <w:pPr>
              <w:spacing w:after="0" w:line="240" w:lineRule="auto"/>
              <w:jc w:val="center"/>
              <w:rPr>
                <w:rFonts w:ascii="Times New Roman" w:hAnsi="Times New Roman" w:cs="Times New Roman"/>
                <w:color w:val="000000"/>
                <w:sz w:val="20"/>
                <w:szCs w:val="20"/>
                <w:lang w:eastAsia="sk-SK"/>
              </w:rPr>
            </w:pPr>
            <w:r w:rsidRPr="00A33A28">
              <w:rPr>
                <w:rFonts w:ascii="Times New Roman" w:hAnsi="Times New Roman" w:cs="Times New Roman"/>
                <w:color w:val="000000"/>
                <w:sz w:val="20"/>
                <w:szCs w:val="20"/>
                <w:lang w:eastAsia="sk-SK"/>
              </w:rPr>
              <w:t>97,1</w:t>
            </w:r>
          </w:p>
        </w:tc>
      </w:tr>
      <w:tr w:rsidR="00070D19" w:rsidRPr="00A33A28" w14:paraId="7DDDF736" w14:textId="77777777" w:rsidTr="00653141">
        <w:trPr>
          <w:trHeight w:val="315"/>
        </w:trPr>
        <w:tc>
          <w:tcPr>
            <w:tcW w:w="2364" w:type="dxa"/>
            <w:shd w:val="clear" w:color="auto" w:fill="auto"/>
            <w:noWrap/>
            <w:vAlign w:val="center"/>
            <w:hideMark/>
          </w:tcPr>
          <w:p w14:paraId="420097D3" w14:textId="77777777" w:rsidR="00070D19" w:rsidRPr="00A33A28" w:rsidRDefault="00070D19" w:rsidP="00653141">
            <w:pPr>
              <w:spacing w:after="0" w:line="240" w:lineRule="auto"/>
              <w:jc w:val="center"/>
              <w:rPr>
                <w:rFonts w:ascii="Times New Roman" w:hAnsi="Times New Roman" w:cs="Times New Roman"/>
                <w:color w:val="000000"/>
                <w:sz w:val="20"/>
                <w:szCs w:val="20"/>
                <w:lang w:eastAsia="sk-SK"/>
              </w:rPr>
            </w:pPr>
            <w:r w:rsidRPr="00A33A28">
              <w:rPr>
                <w:rFonts w:ascii="Times New Roman" w:hAnsi="Times New Roman" w:cs="Times New Roman"/>
                <w:color w:val="000000"/>
                <w:sz w:val="20"/>
                <w:szCs w:val="20"/>
                <w:lang w:eastAsia="sk-SK"/>
              </w:rPr>
              <w:t>Malé podniky (10 – 49)</w:t>
            </w:r>
          </w:p>
        </w:tc>
        <w:tc>
          <w:tcPr>
            <w:tcW w:w="1240" w:type="dxa"/>
            <w:shd w:val="clear" w:color="auto" w:fill="auto"/>
            <w:vAlign w:val="center"/>
            <w:hideMark/>
          </w:tcPr>
          <w:p w14:paraId="2BCD5FEE" w14:textId="77777777" w:rsidR="00070D19" w:rsidRPr="00A33A28" w:rsidRDefault="00070D19" w:rsidP="00653141">
            <w:pPr>
              <w:spacing w:after="0" w:line="240" w:lineRule="auto"/>
              <w:jc w:val="center"/>
              <w:rPr>
                <w:rFonts w:ascii="Times New Roman" w:hAnsi="Times New Roman" w:cs="Times New Roman"/>
                <w:color w:val="000000"/>
                <w:sz w:val="20"/>
                <w:szCs w:val="20"/>
                <w:lang w:eastAsia="sk-SK"/>
              </w:rPr>
            </w:pPr>
            <w:r w:rsidRPr="00A33A28">
              <w:rPr>
                <w:rFonts w:ascii="Times New Roman" w:hAnsi="Times New Roman" w:cs="Times New Roman"/>
                <w:color w:val="000000"/>
                <w:sz w:val="20"/>
                <w:szCs w:val="20"/>
                <w:lang w:eastAsia="sk-SK"/>
              </w:rPr>
              <w:t>11 440</w:t>
            </w:r>
          </w:p>
        </w:tc>
        <w:tc>
          <w:tcPr>
            <w:tcW w:w="1196" w:type="dxa"/>
            <w:shd w:val="clear" w:color="auto" w:fill="auto"/>
            <w:vAlign w:val="center"/>
          </w:tcPr>
          <w:p w14:paraId="00E604FB" w14:textId="77777777" w:rsidR="00070D19" w:rsidRPr="00A33A28" w:rsidRDefault="00070D19" w:rsidP="00653141">
            <w:pPr>
              <w:spacing w:after="0" w:line="240" w:lineRule="auto"/>
              <w:jc w:val="center"/>
              <w:rPr>
                <w:rFonts w:ascii="Times New Roman" w:hAnsi="Times New Roman" w:cs="Times New Roman"/>
                <w:color w:val="000000"/>
                <w:sz w:val="20"/>
                <w:szCs w:val="20"/>
                <w:lang w:eastAsia="sk-SK"/>
              </w:rPr>
            </w:pPr>
            <w:r w:rsidRPr="00A33A28">
              <w:rPr>
                <w:rFonts w:ascii="Times New Roman" w:hAnsi="Times New Roman" w:cs="Times New Roman"/>
                <w:color w:val="000000"/>
                <w:sz w:val="20"/>
                <w:szCs w:val="20"/>
                <w:lang w:eastAsia="sk-SK"/>
              </w:rPr>
              <w:t>1 173</w:t>
            </w:r>
          </w:p>
        </w:tc>
        <w:tc>
          <w:tcPr>
            <w:tcW w:w="1074" w:type="dxa"/>
            <w:shd w:val="clear" w:color="auto" w:fill="auto"/>
            <w:vAlign w:val="center"/>
          </w:tcPr>
          <w:p w14:paraId="1359CAA8" w14:textId="77777777" w:rsidR="00070D19" w:rsidRPr="00A33A28" w:rsidRDefault="00070D19" w:rsidP="00653141">
            <w:pPr>
              <w:spacing w:after="0" w:line="240" w:lineRule="auto"/>
              <w:jc w:val="center"/>
              <w:rPr>
                <w:rFonts w:ascii="Times New Roman" w:hAnsi="Times New Roman" w:cs="Times New Roman"/>
                <w:color w:val="000000"/>
                <w:sz w:val="20"/>
                <w:szCs w:val="20"/>
                <w:lang w:eastAsia="sk-SK"/>
              </w:rPr>
            </w:pPr>
            <w:r w:rsidRPr="00A33A28">
              <w:rPr>
                <w:rFonts w:ascii="Times New Roman" w:hAnsi="Times New Roman" w:cs="Times New Roman"/>
                <w:color w:val="000000"/>
                <w:sz w:val="20"/>
                <w:szCs w:val="20"/>
                <w:lang w:eastAsia="sk-SK"/>
              </w:rPr>
              <w:t>41</w:t>
            </w:r>
          </w:p>
        </w:tc>
        <w:tc>
          <w:tcPr>
            <w:tcW w:w="1060" w:type="dxa"/>
            <w:shd w:val="clear" w:color="auto" w:fill="auto"/>
            <w:vAlign w:val="center"/>
          </w:tcPr>
          <w:p w14:paraId="76C04EB8" w14:textId="77777777" w:rsidR="00070D19" w:rsidRPr="00A33A28" w:rsidRDefault="00070D19" w:rsidP="00653141">
            <w:pPr>
              <w:spacing w:after="0" w:line="240" w:lineRule="auto"/>
              <w:jc w:val="center"/>
              <w:rPr>
                <w:rFonts w:ascii="Times New Roman" w:hAnsi="Times New Roman" w:cs="Times New Roman"/>
                <w:color w:val="000000"/>
                <w:sz w:val="20"/>
                <w:szCs w:val="20"/>
                <w:lang w:eastAsia="sk-SK"/>
              </w:rPr>
            </w:pPr>
            <w:r w:rsidRPr="00A33A28">
              <w:rPr>
                <w:rFonts w:ascii="Times New Roman" w:hAnsi="Times New Roman" w:cs="Times New Roman"/>
                <w:color w:val="000000"/>
                <w:sz w:val="20"/>
                <w:szCs w:val="20"/>
                <w:lang w:eastAsia="sk-SK"/>
              </w:rPr>
              <w:t>8</w:t>
            </w:r>
          </w:p>
        </w:tc>
        <w:tc>
          <w:tcPr>
            <w:tcW w:w="1040" w:type="dxa"/>
            <w:shd w:val="clear" w:color="auto" w:fill="auto"/>
            <w:noWrap/>
            <w:vAlign w:val="center"/>
          </w:tcPr>
          <w:p w14:paraId="4A98DD52" w14:textId="77777777" w:rsidR="00070D19" w:rsidRPr="00A33A28" w:rsidRDefault="00070D19" w:rsidP="00653141">
            <w:pPr>
              <w:spacing w:after="0" w:line="240" w:lineRule="auto"/>
              <w:jc w:val="center"/>
              <w:rPr>
                <w:rFonts w:ascii="Times New Roman" w:hAnsi="Times New Roman" w:cs="Times New Roman"/>
                <w:color w:val="000000"/>
                <w:sz w:val="20"/>
                <w:szCs w:val="20"/>
                <w:lang w:eastAsia="sk-SK"/>
              </w:rPr>
            </w:pPr>
            <w:r w:rsidRPr="00A33A28">
              <w:rPr>
                <w:rFonts w:ascii="Times New Roman" w:hAnsi="Times New Roman" w:cs="Times New Roman"/>
                <w:color w:val="000000"/>
                <w:sz w:val="20"/>
                <w:szCs w:val="20"/>
                <w:lang w:eastAsia="sk-SK"/>
              </w:rPr>
              <w:t>12 662</w:t>
            </w:r>
          </w:p>
        </w:tc>
        <w:tc>
          <w:tcPr>
            <w:tcW w:w="980" w:type="dxa"/>
            <w:shd w:val="clear" w:color="auto" w:fill="auto"/>
            <w:noWrap/>
            <w:vAlign w:val="center"/>
          </w:tcPr>
          <w:p w14:paraId="656F6762" w14:textId="77777777" w:rsidR="00070D19" w:rsidRPr="00A33A28" w:rsidRDefault="00070D19" w:rsidP="00653141">
            <w:pPr>
              <w:spacing w:after="0" w:line="240" w:lineRule="auto"/>
              <w:jc w:val="center"/>
              <w:rPr>
                <w:rFonts w:ascii="Times New Roman" w:hAnsi="Times New Roman" w:cs="Times New Roman"/>
                <w:color w:val="000000"/>
                <w:sz w:val="20"/>
                <w:szCs w:val="20"/>
                <w:lang w:eastAsia="sk-SK"/>
              </w:rPr>
            </w:pPr>
            <w:r w:rsidRPr="00A33A28">
              <w:rPr>
                <w:rFonts w:ascii="Times New Roman" w:hAnsi="Times New Roman" w:cs="Times New Roman"/>
                <w:color w:val="000000"/>
                <w:sz w:val="20"/>
                <w:szCs w:val="20"/>
                <w:lang w:eastAsia="sk-SK"/>
              </w:rPr>
              <w:t>2,3</w:t>
            </w:r>
          </w:p>
        </w:tc>
      </w:tr>
      <w:tr w:rsidR="00070D19" w:rsidRPr="00A33A28" w14:paraId="793E8841" w14:textId="77777777" w:rsidTr="00653141">
        <w:trPr>
          <w:trHeight w:val="315"/>
        </w:trPr>
        <w:tc>
          <w:tcPr>
            <w:tcW w:w="2364" w:type="dxa"/>
            <w:shd w:val="clear" w:color="auto" w:fill="auto"/>
            <w:noWrap/>
            <w:vAlign w:val="center"/>
            <w:hideMark/>
          </w:tcPr>
          <w:p w14:paraId="4761BFF0" w14:textId="77777777" w:rsidR="00070D19" w:rsidRPr="00A33A28" w:rsidRDefault="00070D19" w:rsidP="00653141">
            <w:pPr>
              <w:spacing w:after="0" w:line="240" w:lineRule="auto"/>
              <w:jc w:val="center"/>
              <w:rPr>
                <w:rFonts w:ascii="Times New Roman" w:hAnsi="Times New Roman" w:cs="Times New Roman"/>
                <w:color w:val="000000"/>
                <w:sz w:val="20"/>
                <w:szCs w:val="20"/>
                <w:lang w:eastAsia="sk-SK"/>
              </w:rPr>
            </w:pPr>
            <w:r w:rsidRPr="00A33A28">
              <w:rPr>
                <w:rFonts w:ascii="Times New Roman" w:hAnsi="Times New Roman" w:cs="Times New Roman"/>
                <w:color w:val="000000"/>
                <w:sz w:val="20"/>
                <w:szCs w:val="20"/>
                <w:lang w:eastAsia="sk-SK"/>
              </w:rPr>
              <w:t>Stredné podniky (50 – 249)</w:t>
            </w:r>
          </w:p>
        </w:tc>
        <w:tc>
          <w:tcPr>
            <w:tcW w:w="1240" w:type="dxa"/>
            <w:shd w:val="clear" w:color="auto" w:fill="auto"/>
            <w:vAlign w:val="center"/>
            <w:hideMark/>
          </w:tcPr>
          <w:p w14:paraId="0C0D34A1" w14:textId="77777777" w:rsidR="00070D19" w:rsidRPr="00A33A28" w:rsidRDefault="00070D19" w:rsidP="00653141">
            <w:pPr>
              <w:spacing w:after="0" w:line="240" w:lineRule="auto"/>
              <w:jc w:val="center"/>
              <w:rPr>
                <w:rFonts w:ascii="Times New Roman" w:hAnsi="Times New Roman" w:cs="Times New Roman"/>
                <w:color w:val="000000"/>
                <w:sz w:val="20"/>
                <w:szCs w:val="20"/>
                <w:lang w:eastAsia="sk-SK"/>
              </w:rPr>
            </w:pPr>
            <w:r w:rsidRPr="00A33A28">
              <w:rPr>
                <w:rFonts w:ascii="Times New Roman" w:hAnsi="Times New Roman" w:cs="Times New Roman"/>
                <w:color w:val="000000"/>
                <w:sz w:val="20"/>
                <w:szCs w:val="20"/>
                <w:lang w:eastAsia="sk-SK"/>
              </w:rPr>
              <w:t>2 684</w:t>
            </w:r>
          </w:p>
        </w:tc>
        <w:tc>
          <w:tcPr>
            <w:tcW w:w="1196" w:type="dxa"/>
            <w:shd w:val="clear" w:color="auto" w:fill="auto"/>
            <w:vAlign w:val="center"/>
          </w:tcPr>
          <w:p w14:paraId="71A8C12D" w14:textId="77777777" w:rsidR="00070D19" w:rsidRPr="00A33A28" w:rsidRDefault="00070D19" w:rsidP="00653141">
            <w:pPr>
              <w:spacing w:after="0" w:line="240" w:lineRule="auto"/>
              <w:jc w:val="center"/>
              <w:rPr>
                <w:rFonts w:ascii="Times New Roman" w:hAnsi="Times New Roman" w:cs="Times New Roman"/>
                <w:color w:val="000000"/>
                <w:sz w:val="20"/>
                <w:szCs w:val="20"/>
                <w:lang w:eastAsia="sk-SK"/>
              </w:rPr>
            </w:pPr>
            <w:r w:rsidRPr="00A33A28">
              <w:rPr>
                <w:rFonts w:ascii="Times New Roman" w:hAnsi="Times New Roman" w:cs="Times New Roman"/>
                <w:color w:val="000000"/>
                <w:sz w:val="20"/>
                <w:szCs w:val="20"/>
                <w:lang w:eastAsia="sk-SK"/>
              </w:rPr>
              <w:t>57</w:t>
            </w:r>
          </w:p>
        </w:tc>
        <w:tc>
          <w:tcPr>
            <w:tcW w:w="1074" w:type="dxa"/>
            <w:shd w:val="clear" w:color="auto" w:fill="auto"/>
            <w:vAlign w:val="center"/>
          </w:tcPr>
          <w:p w14:paraId="7207E07E" w14:textId="77777777" w:rsidR="00070D19" w:rsidRPr="00A33A28" w:rsidRDefault="00070D19" w:rsidP="00653141">
            <w:pPr>
              <w:spacing w:after="0" w:line="240" w:lineRule="auto"/>
              <w:jc w:val="center"/>
              <w:rPr>
                <w:rFonts w:ascii="Times New Roman" w:hAnsi="Times New Roman" w:cs="Times New Roman"/>
                <w:color w:val="000000"/>
                <w:sz w:val="20"/>
                <w:szCs w:val="20"/>
                <w:lang w:eastAsia="sk-SK"/>
              </w:rPr>
            </w:pPr>
            <w:r w:rsidRPr="00A33A28">
              <w:rPr>
                <w:rFonts w:ascii="Times New Roman" w:hAnsi="Times New Roman" w:cs="Times New Roman"/>
                <w:color w:val="000000"/>
                <w:sz w:val="20"/>
                <w:szCs w:val="20"/>
                <w:lang w:eastAsia="sk-SK"/>
              </w:rPr>
              <w:t>0</w:t>
            </w:r>
          </w:p>
        </w:tc>
        <w:tc>
          <w:tcPr>
            <w:tcW w:w="1060" w:type="dxa"/>
            <w:shd w:val="clear" w:color="auto" w:fill="auto"/>
            <w:vAlign w:val="center"/>
          </w:tcPr>
          <w:p w14:paraId="333C396F" w14:textId="77777777" w:rsidR="00070D19" w:rsidRPr="00A33A28" w:rsidRDefault="00070D19" w:rsidP="00653141">
            <w:pPr>
              <w:spacing w:after="0" w:line="240" w:lineRule="auto"/>
              <w:jc w:val="center"/>
              <w:rPr>
                <w:rFonts w:ascii="Times New Roman" w:hAnsi="Times New Roman" w:cs="Times New Roman"/>
                <w:color w:val="000000"/>
                <w:sz w:val="20"/>
                <w:szCs w:val="20"/>
                <w:lang w:eastAsia="sk-SK"/>
              </w:rPr>
            </w:pPr>
            <w:r w:rsidRPr="00A33A28">
              <w:rPr>
                <w:rFonts w:ascii="Times New Roman" w:hAnsi="Times New Roman" w:cs="Times New Roman"/>
                <w:color w:val="000000"/>
                <w:sz w:val="20"/>
                <w:szCs w:val="20"/>
                <w:lang w:eastAsia="sk-SK"/>
              </w:rPr>
              <w:t>0</w:t>
            </w:r>
          </w:p>
        </w:tc>
        <w:tc>
          <w:tcPr>
            <w:tcW w:w="1040" w:type="dxa"/>
            <w:shd w:val="clear" w:color="auto" w:fill="auto"/>
            <w:noWrap/>
            <w:vAlign w:val="center"/>
          </w:tcPr>
          <w:p w14:paraId="28743450" w14:textId="77777777" w:rsidR="00070D19" w:rsidRPr="00A33A28" w:rsidRDefault="00070D19" w:rsidP="00653141">
            <w:pPr>
              <w:spacing w:after="0" w:line="240" w:lineRule="auto"/>
              <w:jc w:val="center"/>
              <w:rPr>
                <w:rFonts w:ascii="Times New Roman" w:hAnsi="Times New Roman" w:cs="Times New Roman"/>
                <w:color w:val="000000"/>
                <w:sz w:val="20"/>
                <w:szCs w:val="20"/>
                <w:lang w:eastAsia="sk-SK"/>
              </w:rPr>
            </w:pPr>
            <w:r w:rsidRPr="00A33A28">
              <w:rPr>
                <w:rFonts w:ascii="Times New Roman" w:hAnsi="Times New Roman" w:cs="Times New Roman"/>
                <w:color w:val="000000"/>
                <w:sz w:val="20"/>
                <w:szCs w:val="20"/>
                <w:lang w:eastAsia="sk-SK"/>
              </w:rPr>
              <w:t>2 741</w:t>
            </w:r>
          </w:p>
        </w:tc>
        <w:tc>
          <w:tcPr>
            <w:tcW w:w="980" w:type="dxa"/>
            <w:shd w:val="clear" w:color="auto" w:fill="auto"/>
            <w:noWrap/>
            <w:vAlign w:val="center"/>
          </w:tcPr>
          <w:p w14:paraId="0D07A480" w14:textId="77777777" w:rsidR="00070D19" w:rsidRPr="00A33A28" w:rsidRDefault="00070D19" w:rsidP="00653141">
            <w:pPr>
              <w:spacing w:after="0" w:line="240" w:lineRule="auto"/>
              <w:jc w:val="center"/>
              <w:rPr>
                <w:rFonts w:ascii="Times New Roman" w:hAnsi="Times New Roman" w:cs="Times New Roman"/>
                <w:color w:val="000000"/>
                <w:sz w:val="20"/>
                <w:szCs w:val="20"/>
                <w:lang w:eastAsia="sk-SK"/>
              </w:rPr>
            </w:pPr>
            <w:r w:rsidRPr="00A33A28">
              <w:rPr>
                <w:rFonts w:ascii="Times New Roman" w:hAnsi="Times New Roman" w:cs="Times New Roman"/>
                <w:color w:val="000000"/>
                <w:sz w:val="20"/>
                <w:szCs w:val="20"/>
                <w:lang w:eastAsia="sk-SK"/>
              </w:rPr>
              <w:t>0,5</w:t>
            </w:r>
          </w:p>
        </w:tc>
      </w:tr>
      <w:tr w:rsidR="00070D19" w:rsidRPr="00A33A28" w14:paraId="22E2B08A" w14:textId="77777777" w:rsidTr="00653141">
        <w:trPr>
          <w:trHeight w:val="315"/>
        </w:trPr>
        <w:tc>
          <w:tcPr>
            <w:tcW w:w="2364" w:type="dxa"/>
            <w:shd w:val="clear" w:color="auto" w:fill="auto"/>
            <w:noWrap/>
            <w:vAlign w:val="center"/>
            <w:hideMark/>
          </w:tcPr>
          <w:p w14:paraId="6EFE29EF" w14:textId="77777777" w:rsidR="00070D19" w:rsidRPr="00A33A28" w:rsidRDefault="00070D19" w:rsidP="00653141">
            <w:pPr>
              <w:spacing w:after="0" w:line="240" w:lineRule="auto"/>
              <w:jc w:val="center"/>
              <w:rPr>
                <w:rFonts w:ascii="Times New Roman" w:hAnsi="Times New Roman" w:cs="Times New Roman"/>
                <w:color w:val="000000"/>
                <w:sz w:val="20"/>
                <w:szCs w:val="20"/>
                <w:lang w:eastAsia="sk-SK"/>
              </w:rPr>
            </w:pPr>
            <w:r w:rsidRPr="00A33A28">
              <w:rPr>
                <w:rFonts w:ascii="Times New Roman" w:hAnsi="Times New Roman" w:cs="Times New Roman"/>
                <w:color w:val="000000"/>
                <w:sz w:val="20"/>
                <w:szCs w:val="20"/>
                <w:lang w:eastAsia="sk-SK"/>
              </w:rPr>
              <w:t>Veľké podniky (250 a viac)</w:t>
            </w:r>
          </w:p>
        </w:tc>
        <w:tc>
          <w:tcPr>
            <w:tcW w:w="1240" w:type="dxa"/>
            <w:shd w:val="clear" w:color="auto" w:fill="auto"/>
            <w:noWrap/>
            <w:vAlign w:val="center"/>
            <w:hideMark/>
          </w:tcPr>
          <w:p w14:paraId="279BADA3" w14:textId="77777777" w:rsidR="00070D19" w:rsidRPr="00A33A28" w:rsidRDefault="00070D19" w:rsidP="00653141">
            <w:pPr>
              <w:spacing w:after="0" w:line="240" w:lineRule="auto"/>
              <w:jc w:val="center"/>
              <w:rPr>
                <w:rFonts w:ascii="Times New Roman" w:hAnsi="Times New Roman" w:cs="Times New Roman"/>
                <w:color w:val="000000"/>
                <w:sz w:val="20"/>
                <w:szCs w:val="20"/>
                <w:lang w:eastAsia="sk-SK"/>
              </w:rPr>
            </w:pPr>
            <w:r w:rsidRPr="00A33A28">
              <w:rPr>
                <w:rFonts w:ascii="Times New Roman" w:hAnsi="Times New Roman" w:cs="Times New Roman"/>
                <w:color w:val="000000"/>
                <w:sz w:val="20"/>
                <w:szCs w:val="20"/>
                <w:lang w:eastAsia="sk-SK"/>
              </w:rPr>
              <w:t>636</w:t>
            </w:r>
          </w:p>
        </w:tc>
        <w:tc>
          <w:tcPr>
            <w:tcW w:w="1196" w:type="dxa"/>
            <w:shd w:val="clear" w:color="auto" w:fill="auto"/>
            <w:noWrap/>
            <w:vAlign w:val="center"/>
          </w:tcPr>
          <w:p w14:paraId="1A610AC7" w14:textId="77777777" w:rsidR="00070D19" w:rsidRPr="00A33A28" w:rsidRDefault="00070D19" w:rsidP="00653141">
            <w:pPr>
              <w:spacing w:after="0" w:line="240" w:lineRule="auto"/>
              <w:jc w:val="center"/>
              <w:rPr>
                <w:rFonts w:ascii="Times New Roman" w:hAnsi="Times New Roman" w:cs="Times New Roman"/>
                <w:color w:val="000000"/>
                <w:sz w:val="20"/>
                <w:szCs w:val="20"/>
                <w:lang w:eastAsia="sk-SK"/>
              </w:rPr>
            </w:pPr>
            <w:r w:rsidRPr="00A33A28">
              <w:rPr>
                <w:rFonts w:ascii="Times New Roman" w:hAnsi="Times New Roman" w:cs="Times New Roman"/>
                <w:color w:val="000000"/>
                <w:sz w:val="20"/>
                <w:szCs w:val="20"/>
                <w:lang w:eastAsia="sk-SK"/>
              </w:rPr>
              <w:t>0</w:t>
            </w:r>
          </w:p>
        </w:tc>
        <w:tc>
          <w:tcPr>
            <w:tcW w:w="1074" w:type="dxa"/>
            <w:shd w:val="clear" w:color="auto" w:fill="auto"/>
            <w:vAlign w:val="center"/>
          </w:tcPr>
          <w:p w14:paraId="17E72F7D" w14:textId="77777777" w:rsidR="00070D19" w:rsidRPr="00A33A28" w:rsidRDefault="00070D19" w:rsidP="00653141">
            <w:pPr>
              <w:spacing w:after="0" w:line="240" w:lineRule="auto"/>
              <w:jc w:val="center"/>
              <w:rPr>
                <w:rFonts w:ascii="Times New Roman" w:hAnsi="Times New Roman" w:cs="Times New Roman"/>
                <w:color w:val="000000"/>
                <w:sz w:val="20"/>
                <w:szCs w:val="20"/>
                <w:lang w:eastAsia="sk-SK"/>
              </w:rPr>
            </w:pPr>
            <w:r w:rsidRPr="00A33A28">
              <w:rPr>
                <w:rFonts w:ascii="Times New Roman" w:hAnsi="Times New Roman" w:cs="Times New Roman"/>
                <w:color w:val="000000"/>
                <w:sz w:val="20"/>
                <w:szCs w:val="20"/>
                <w:lang w:eastAsia="sk-SK"/>
              </w:rPr>
              <w:t>0</w:t>
            </w:r>
          </w:p>
        </w:tc>
        <w:tc>
          <w:tcPr>
            <w:tcW w:w="1060" w:type="dxa"/>
            <w:shd w:val="clear" w:color="auto" w:fill="auto"/>
            <w:vAlign w:val="center"/>
          </w:tcPr>
          <w:p w14:paraId="1B1594EC" w14:textId="77777777" w:rsidR="00070D19" w:rsidRPr="00A33A28" w:rsidRDefault="00070D19" w:rsidP="00653141">
            <w:pPr>
              <w:spacing w:after="0" w:line="240" w:lineRule="auto"/>
              <w:jc w:val="center"/>
              <w:rPr>
                <w:rFonts w:ascii="Times New Roman" w:hAnsi="Times New Roman" w:cs="Times New Roman"/>
                <w:color w:val="000000"/>
                <w:sz w:val="20"/>
                <w:szCs w:val="20"/>
                <w:lang w:eastAsia="sk-SK"/>
              </w:rPr>
            </w:pPr>
            <w:r w:rsidRPr="00A33A28">
              <w:rPr>
                <w:rFonts w:ascii="Times New Roman" w:hAnsi="Times New Roman" w:cs="Times New Roman"/>
                <w:color w:val="000000"/>
                <w:sz w:val="20"/>
                <w:szCs w:val="20"/>
                <w:lang w:eastAsia="sk-SK"/>
              </w:rPr>
              <w:t>0</w:t>
            </w:r>
          </w:p>
        </w:tc>
        <w:tc>
          <w:tcPr>
            <w:tcW w:w="1040" w:type="dxa"/>
            <w:shd w:val="clear" w:color="auto" w:fill="auto"/>
            <w:noWrap/>
            <w:vAlign w:val="center"/>
          </w:tcPr>
          <w:p w14:paraId="25FED24A" w14:textId="77777777" w:rsidR="00070D19" w:rsidRPr="00A33A28" w:rsidRDefault="00070D19" w:rsidP="00653141">
            <w:pPr>
              <w:spacing w:after="0" w:line="240" w:lineRule="auto"/>
              <w:jc w:val="center"/>
              <w:rPr>
                <w:rFonts w:ascii="Times New Roman" w:hAnsi="Times New Roman" w:cs="Times New Roman"/>
                <w:color w:val="000000"/>
                <w:sz w:val="20"/>
                <w:szCs w:val="20"/>
                <w:lang w:eastAsia="sk-SK"/>
              </w:rPr>
            </w:pPr>
            <w:r w:rsidRPr="00A33A28">
              <w:rPr>
                <w:rFonts w:ascii="Times New Roman" w:hAnsi="Times New Roman" w:cs="Times New Roman"/>
                <w:color w:val="000000"/>
                <w:sz w:val="20"/>
                <w:szCs w:val="20"/>
                <w:lang w:eastAsia="sk-SK"/>
              </w:rPr>
              <w:t>636</w:t>
            </w:r>
          </w:p>
        </w:tc>
        <w:tc>
          <w:tcPr>
            <w:tcW w:w="980" w:type="dxa"/>
            <w:shd w:val="clear" w:color="auto" w:fill="auto"/>
            <w:noWrap/>
            <w:vAlign w:val="center"/>
          </w:tcPr>
          <w:p w14:paraId="3BD62F55" w14:textId="77777777" w:rsidR="00070D19" w:rsidRPr="00A33A28" w:rsidRDefault="00070D19" w:rsidP="00653141">
            <w:pPr>
              <w:spacing w:after="0" w:line="240" w:lineRule="auto"/>
              <w:jc w:val="center"/>
              <w:rPr>
                <w:rFonts w:ascii="Times New Roman" w:hAnsi="Times New Roman" w:cs="Times New Roman"/>
                <w:color w:val="000000"/>
                <w:sz w:val="20"/>
                <w:szCs w:val="20"/>
                <w:lang w:eastAsia="sk-SK"/>
              </w:rPr>
            </w:pPr>
            <w:r w:rsidRPr="00A33A28">
              <w:rPr>
                <w:rFonts w:ascii="Times New Roman" w:hAnsi="Times New Roman" w:cs="Times New Roman"/>
                <w:color w:val="000000"/>
                <w:sz w:val="20"/>
                <w:szCs w:val="20"/>
                <w:lang w:eastAsia="sk-SK"/>
              </w:rPr>
              <w:t>0,1</w:t>
            </w:r>
          </w:p>
        </w:tc>
      </w:tr>
      <w:tr w:rsidR="00070D19" w:rsidRPr="00A33A28" w14:paraId="72F8FBC3" w14:textId="77777777" w:rsidTr="00653141">
        <w:trPr>
          <w:trHeight w:val="315"/>
        </w:trPr>
        <w:tc>
          <w:tcPr>
            <w:tcW w:w="2364" w:type="dxa"/>
            <w:shd w:val="clear" w:color="auto" w:fill="548DD4" w:themeFill="text2" w:themeFillTint="99"/>
            <w:noWrap/>
            <w:vAlign w:val="center"/>
            <w:hideMark/>
          </w:tcPr>
          <w:p w14:paraId="6D9B5DBF" w14:textId="77777777" w:rsidR="00070D19" w:rsidRPr="00A33A28" w:rsidRDefault="00070D19" w:rsidP="00653141">
            <w:pPr>
              <w:spacing w:after="0" w:line="240" w:lineRule="auto"/>
              <w:jc w:val="center"/>
              <w:rPr>
                <w:rFonts w:ascii="Times New Roman" w:hAnsi="Times New Roman" w:cs="Times New Roman"/>
                <w:b/>
                <w:bCs/>
                <w:color w:val="000000"/>
                <w:sz w:val="20"/>
                <w:szCs w:val="20"/>
                <w:lang w:eastAsia="sk-SK"/>
              </w:rPr>
            </w:pPr>
            <w:r w:rsidRPr="00A33A28">
              <w:rPr>
                <w:rFonts w:ascii="Times New Roman" w:hAnsi="Times New Roman" w:cs="Times New Roman"/>
                <w:b/>
                <w:bCs/>
                <w:color w:val="000000"/>
                <w:sz w:val="20"/>
                <w:szCs w:val="20"/>
                <w:lang w:eastAsia="sk-SK"/>
              </w:rPr>
              <w:t xml:space="preserve">Spolu MSP </w:t>
            </w:r>
            <w:r w:rsidRPr="00A33A28">
              <w:rPr>
                <w:rFonts w:ascii="Times New Roman" w:hAnsi="Times New Roman" w:cs="Times New Roman"/>
                <w:color w:val="000000"/>
                <w:sz w:val="20"/>
                <w:szCs w:val="20"/>
                <w:lang w:eastAsia="sk-SK"/>
              </w:rPr>
              <w:t>(0 – 249)</w:t>
            </w:r>
          </w:p>
        </w:tc>
        <w:tc>
          <w:tcPr>
            <w:tcW w:w="1240" w:type="dxa"/>
            <w:shd w:val="clear" w:color="auto" w:fill="548DD4" w:themeFill="text2" w:themeFillTint="99"/>
            <w:noWrap/>
            <w:vAlign w:val="center"/>
            <w:hideMark/>
          </w:tcPr>
          <w:p w14:paraId="7C684A64" w14:textId="77777777" w:rsidR="00070D19" w:rsidRPr="00A33A28" w:rsidRDefault="00070D19" w:rsidP="00653141">
            <w:pPr>
              <w:spacing w:after="0" w:line="240" w:lineRule="auto"/>
              <w:jc w:val="center"/>
              <w:rPr>
                <w:rFonts w:ascii="Times New Roman" w:hAnsi="Times New Roman" w:cs="Times New Roman"/>
                <w:b/>
                <w:bCs/>
                <w:color w:val="000000"/>
                <w:sz w:val="20"/>
                <w:szCs w:val="20"/>
                <w:lang w:eastAsia="sk-SK"/>
              </w:rPr>
            </w:pPr>
            <w:r w:rsidRPr="00A33A28">
              <w:rPr>
                <w:rFonts w:ascii="Times New Roman" w:hAnsi="Times New Roman" w:cs="Times New Roman"/>
                <w:b/>
                <w:bCs/>
                <w:color w:val="000000"/>
                <w:sz w:val="20"/>
                <w:szCs w:val="20"/>
                <w:lang w:eastAsia="sk-SK"/>
              </w:rPr>
              <w:t>210 130</w:t>
            </w:r>
          </w:p>
        </w:tc>
        <w:tc>
          <w:tcPr>
            <w:tcW w:w="1196" w:type="dxa"/>
            <w:shd w:val="clear" w:color="auto" w:fill="548DD4" w:themeFill="text2" w:themeFillTint="99"/>
            <w:noWrap/>
            <w:vAlign w:val="center"/>
          </w:tcPr>
          <w:p w14:paraId="47FACEA5" w14:textId="77777777" w:rsidR="00070D19" w:rsidRPr="00A33A28" w:rsidRDefault="00070D19" w:rsidP="00653141">
            <w:pPr>
              <w:spacing w:after="0" w:line="240" w:lineRule="auto"/>
              <w:jc w:val="center"/>
              <w:rPr>
                <w:rFonts w:ascii="Times New Roman" w:hAnsi="Times New Roman" w:cs="Times New Roman"/>
                <w:b/>
                <w:bCs/>
                <w:color w:val="000000"/>
                <w:sz w:val="20"/>
                <w:szCs w:val="20"/>
                <w:lang w:eastAsia="sk-SK"/>
              </w:rPr>
            </w:pPr>
            <w:r w:rsidRPr="00A33A28">
              <w:rPr>
                <w:rFonts w:ascii="Times New Roman" w:hAnsi="Times New Roman" w:cs="Times New Roman"/>
                <w:b/>
                <w:color w:val="000000"/>
                <w:sz w:val="20"/>
                <w:szCs w:val="20"/>
                <w:lang w:eastAsia="sk-SK"/>
              </w:rPr>
              <w:t>322 968</w:t>
            </w:r>
          </w:p>
        </w:tc>
        <w:tc>
          <w:tcPr>
            <w:tcW w:w="1074" w:type="dxa"/>
            <w:shd w:val="clear" w:color="auto" w:fill="548DD4" w:themeFill="text2" w:themeFillTint="99"/>
            <w:noWrap/>
            <w:vAlign w:val="center"/>
          </w:tcPr>
          <w:p w14:paraId="7BD67491" w14:textId="77777777" w:rsidR="00070D19" w:rsidRPr="00A33A28" w:rsidRDefault="00070D19" w:rsidP="00653141">
            <w:pPr>
              <w:spacing w:after="0" w:line="240" w:lineRule="auto"/>
              <w:jc w:val="center"/>
              <w:rPr>
                <w:rFonts w:ascii="Times New Roman" w:hAnsi="Times New Roman" w:cs="Times New Roman"/>
                <w:b/>
                <w:bCs/>
                <w:color w:val="000000"/>
                <w:sz w:val="20"/>
                <w:szCs w:val="20"/>
                <w:lang w:eastAsia="sk-SK"/>
              </w:rPr>
            </w:pPr>
            <w:r w:rsidRPr="00A33A28">
              <w:rPr>
                <w:rFonts w:ascii="Times New Roman" w:hAnsi="Times New Roman" w:cs="Times New Roman"/>
                <w:b/>
                <w:bCs/>
                <w:color w:val="000000"/>
                <w:sz w:val="20"/>
                <w:szCs w:val="20"/>
                <w:lang w:eastAsia="sk-SK"/>
              </w:rPr>
              <w:t>18 553</w:t>
            </w:r>
          </w:p>
        </w:tc>
        <w:tc>
          <w:tcPr>
            <w:tcW w:w="1060" w:type="dxa"/>
            <w:shd w:val="clear" w:color="auto" w:fill="548DD4" w:themeFill="text2" w:themeFillTint="99"/>
            <w:noWrap/>
            <w:vAlign w:val="center"/>
          </w:tcPr>
          <w:p w14:paraId="6D42DCB4" w14:textId="77777777" w:rsidR="00070D19" w:rsidRPr="00A33A28" w:rsidRDefault="00070D19" w:rsidP="00653141">
            <w:pPr>
              <w:spacing w:after="0" w:line="240" w:lineRule="auto"/>
              <w:jc w:val="center"/>
              <w:rPr>
                <w:rFonts w:ascii="Times New Roman" w:hAnsi="Times New Roman" w:cs="Times New Roman"/>
                <w:b/>
                <w:bCs/>
                <w:color w:val="000000"/>
                <w:sz w:val="20"/>
                <w:szCs w:val="20"/>
                <w:lang w:eastAsia="sk-SK"/>
              </w:rPr>
            </w:pPr>
            <w:r w:rsidRPr="00A33A28">
              <w:rPr>
                <w:rFonts w:ascii="Times New Roman" w:hAnsi="Times New Roman" w:cs="Times New Roman"/>
                <w:b/>
                <w:bCs/>
                <w:color w:val="000000"/>
                <w:sz w:val="20"/>
                <w:szCs w:val="20"/>
                <w:lang w:eastAsia="sk-SK"/>
              </w:rPr>
              <w:t>5 471</w:t>
            </w:r>
          </w:p>
        </w:tc>
        <w:tc>
          <w:tcPr>
            <w:tcW w:w="1040" w:type="dxa"/>
            <w:shd w:val="clear" w:color="auto" w:fill="548DD4" w:themeFill="text2" w:themeFillTint="99"/>
            <w:noWrap/>
            <w:vAlign w:val="center"/>
          </w:tcPr>
          <w:p w14:paraId="3919D350" w14:textId="77777777" w:rsidR="00070D19" w:rsidRPr="00A33A28" w:rsidRDefault="00070D19" w:rsidP="00653141">
            <w:pPr>
              <w:spacing w:after="0" w:line="240" w:lineRule="auto"/>
              <w:jc w:val="center"/>
              <w:rPr>
                <w:rFonts w:ascii="Times New Roman" w:hAnsi="Times New Roman" w:cs="Times New Roman"/>
                <w:b/>
                <w:bCs/>
                <w:color w:val="000000"/>
                <w:sz w:val="20"/>
                <w:szCs w:val="20"/>
                <w:lang w:eastAsia="sk-SK"/>
              </w:rPr>
            </w:pPr>
            <w:r w:rsidRPr="00A33A28">
              <w:rPr>
                <w:rFonts w:ascii="Times New Roman" w:hAnsi="Times New Roman" w:cs="Times New Roman"/>
                <w:b/>
                <w:bCs/>
                <w:color w:val="000000"/>
                <w:sz w:val="20"/>
                <w:szCs w:val="20"/>
                <w:lang w:eastAsia="sk-SK"/>
              </w:rPr>
              <w:t>557 122</w:t>
            </w:r>
          </w:p>
        </w:tc>
        <w:tc>
          <w:tcPr>
            <w:tcW w:w="980" w:type="dxa"/>
            <w:shd w:val="clear" w:color="auto" w:fill="548DD4" w:themeFill="text2" w:themeFillTint="99"/>
            <w:noWrap/>
            <w:vAlign w:val="center"/>
          </w:tcPr>
          <w:p w14:paraId="2ECC6986" w14:textId="77777777" w:rsidR="00070D19" w:rsidRPr="00A33A28" w:rsidRDefault="00070D19" w:rsidP="00653141">
            <w:pPr>
              <w:spacing w:after="0" w:line="240" w:lineRule="auto"/>
              <w:jc w:val="center"/>
              <w:rPr>
                <w:rFonts w:ascii="Times New Roman" w:hAnsi="Times New Roman" w:cs="Times New Roman"/>
                <w:b/>
                <w:bCs/>
                <w:color w:val="000000"/>
                <w:sz w:val="20"/>
                <w:szCs w:val="20"/>
                <w:lang w:eastAsia="sk-SK"/>
              </w:rPr>
            </w:pPr>
            <w:r w:rsidRPr="00A33A28">
              <w:rPr>
                <w:rFonts w:ascii="Times New Roman" w:hAnsi="Times New Roman" w:cs="Times New Roman"/>
                <w:b/>
                <w:bCs/>
                <w:color w:val="000000"/>
                <w:sz w:val="20"/>
                <w:szCs w:val="20"/>
                <w:lang w:eastAsia="sk-SK"/>
              </w:rPr>
              <w:t>99,9</w:t>
            </w:r>
          </w:p>
        </w:tc>
      </w:tr>
      <w:tr w:rsidR="00070D19" w:rsidRPr="00A33A28" w14:paraId="19717550" w14:textId="77777777" w:rsidTr="00653141">
        <w:trPr>
          <w:trHeight w:val="315"/>
        </w:trPr>
        <w:tc>
          <w:tcPr>
            <w:tcW w:w="2364" w:type="dxa"/>
            <w:shd w:val="clear" w:color="auto" w:fill="auto"/>
            <w:noWrap/>
            <w:vAlign w:val="center"/>
            <w:hideMark/>
          </w:tcPr>
          <w:p w14:paraId="54DF6FFC" w14:textId="77777777" w:rsidR="00070D19" w:rsidRPr="00A33A28" w:rsidRDefault="00070D19" w:rsidP="00653141">
            <w:pPr>
              <w:spacing w:after="0" w:line="240" w:lineRule="auto"/>
              <w:jc w:val="center"/>
              <w:rPr>
                <w:rFonts w:ascii="Times New Roman" w:hAnsi="Times New Roman" w:cs="Times New Roman"/>
                <w:color w:val="000000"/>
                <w:sz w:val="20"/>
                <w:szCs w:val="20"/>
                <w:lang w:eastAsia="sk-SK"/>
              </w:rPr>
            </w:pPr>
            <w:r w:rsidRPr="00A33A28">
              <w:rPr>
                <w:rFonts w:ascii="Times New Roman" w:hAnsi="Times New Roman" w:cs="Times New Roman"/>
                <w:color w:val="000000"/>
                <w:sz w:val="20"/>
                <w:szCs w:val="20"/>
                <w:lang w:eastAsia="sk-SK"/>
              </w:rPr>
              <w:t>Spolu podnikateľské subjekty</w:t>
            </w:r>
          </w:p>
        </w:tc>
        <w:tc>
          <w:tcPr>
            <w:tcW w:w="1240" w:type="dxa"/>
            <w:shd w:val="clear" w:color="auto" w:fill="auto"/>
            <w:noWrap/>
            <w:vAlign w:val="center"/>
            <w:hideMark/>
          </w:tcPr>
          <w:p w14:paraId="1AD7F209" w14:textId="77777777" w:rsidR="00070D19" w:rsidRPr="00A33A28" w:rsidRDefault="00070D19" w:rsidP="00653141">
            <w:pPr>
              <w:spacing w:after="0" w:line="240" w:lineRule="auto"/>
              <w:jc w:val="center"/>
              <w:rPr>
                <w:rFonts w:ascii="Times New Roman" w:hAnsi="Times New Roman" w:cs="Times New Roman"/>
                <w:color w:val="000000"/>
                <w:sz w:val="20"/>
                <w:szCs w:val="20"/>
                <w:lang w:eastAsia="sk-SK"/>
              </w:rPr>
            </w:pPr>
            <w:r w:rsidRPr="00A33A28">
              <w:rPr>
                <w:rFonts w:ascii="Times New Roman" w:hAnsi="Times New Roman" w:cs="Times New Roman"/>
                <w:color w:val="000000"/>
                <w:sz w:val="20"/>
                <w:szCs w:val="20"/>
                <w:lang w:eastAsia="sk-SK"/>
              </w:rPr>
              <w:t>210 766</w:t>
            </w:r>
          </w:p>
        </w:tc>
        <w:tc>
          <w:tcPr>
            <w:tcW w:w="1196" w:type="dxa"/>
            <w:shd w:val="clear" w:color="auto" w:fill="auto"/>
            <w:noWrap/>
            <w:vAlign w:val="center"/>
          </w:tcPr>
          <w:p w14:paraId="696D14CA" w14:textId="77777777" w:rsidR="00070D19" w:rsidRPr="00A33A28" w:rsidRDefault="00070D19" w:rsidP="00653141">
            <w:pPr>
              <w:spacing w:after="0" w:line="240" w:lineRule="auto"/>
              <w:jc w:val="center"/>
              <w:rPr>
                <w:rFonts w:ascii="Times New Roman" w:hAnsi="Times New Roman" w:cs="Times New Roman"/>
                <w:color w:val="000000"/>
                <w:sz w:val="20"/>
                <w:szCs w:val="20"/>
                <w:lang w:eastAsia="sk-SK"/>
              </w:rPr>
            </w:pPr>
            <w:r w:rsidRPr="00A33A28">
              <w:rPr>
                <w:rFonts w:ascii="Times New Roman" w:hAnsi="Times New Roman" w:cs="Times New Roman"/>
                <w:color w:val="000000"/>
                <w:sz w:val="20"/>
                <w:szCs w:val="20"/>
                <w:lang w:eastAsia="sk-SK"/>
              </w:rPr>
              <w:t>322 968</w:t>
            </w:r>
          </w:p>
        </w:tc>
        <w:tc>
          <w:tcPr>
            <w:tcW w:w="1074" w:type="dxa"/>
            <w:shd w:val="clear" w:color="auto" w:fill="auto"/>
            <w:noWrap/>
            <w:vAlign w:val="center"/>
          </w:tcPr>
          <w:p w14:paraId="18C37B34" w14:textId="77777777" w:rsidR="00070D19" w:rsidRPr="00A33A28" w:rsidRDefault="00070D19" w:rsidP="00653141">
            <w:pPr>
              <w:spacing w:after="0" w:line="240" w:lineRule="auto"/>
              <w:jc w:val="center"/>
              <w:rPr>
                <w:rFonts w:ascii="Times New Roman" w:hAnsi="Times New Roman" w:cs="Times New Roman"/>
                <w:color w:val="000000"/>
                <w:sz w:val="20"/>
                <w:szCs w:val="20"/>
                <w:lang w:eastAsia="sk-SK"/>
              </w:rPr>
            </w:pPr>
            <w:r w:rsidRPr="00A33A28">
              <w:rPr>
                <w:rFonts w:ascii="Times New Roman" w:hAnsi="Times New Roman" w:cs="Times New Roman"/>
                <w:color w:val="000000"/>
                <w:sz w:val="20"/>
                <w:szCs w:val="20"/>
                <w:lang w:eastAsia="sk-SK"/>
              </w:rPr>
              <w:t>18 553</w:t>
            </w:r>
          </w:p>
        </w:tc>
        <w:tc>
          <w:tcPr>
            <w:tcW w:w="1060" w:type="dxa"/>
            <w:shd w:val="clear" w:color="auto" w:fill="auto"/>
            <w:noWrap/>
            <w:vAlign w:val="center"/>
          </w:tcPr>
          <w:p w14:paraId="1E5A29FF" w14:textId="77777777" w:rsidR="00070D19" w:rsidRPr="00A33A28" w:rsidRDefault="00070D19" w:rsidP="00653141">
            <w:pPr>
              <w:spacing w:after="0" w:line="240" w:lineRule="auto"/>
              <w:jc w:val="center"/>
              <w:rPr>
                <w:rFonts w:ascii="Times New Roman" w:hAnsi="Times New Roman" w:cs="Times New Roman"/>
                <w:color w:val="000000"/>
                <w:sz w:val="20"/>
                <w:szCs w:val="20"/>
                <w:lang w:eastAsia="sk-SK"/>
              </w:rPr>
            </w:pPr>
            <w:r w:rsidRPr="00A33A28">
              <w:rPr>
                <w:rFonts w:ascii="Times New Roman" w:hAnsi="Times New Roman" w:cs="Times New Roman"/>
                <w:color w:val="000000"/>
                <w:sz w:val="20"/>
                <w:szCs w:val="20"/>
                <w:lang w:eastAsia="sk-SK"/>
              </w:rPr>
              <w:t>5 471</w:t>
            </w:r>
          </w:p>
        </w:tc>
        <w:tc>
          <w:tcPr>
            <w:tcW w:w="1040" w:type="dxa"/>
            <w:shd w:val="clear" w:color="auto" w:fill="auto"/>
            <w:noWrap/>
            <w:vAlign w:val="center"/>
          </w:tcPr>
          <w:p w14:paraId="0409E6A5" w14:textId="77777777" w:rsidR="00070D19" w:rsidRPr="00A33A28" w:rsidRDefault="00070D19" w:rsidP="00653141">
            <w:pPr>
              <w:spacing w:after="0" w:line="240" w:lineRule="auto"/>
              <w:jc w:val="center"/>
              <w:rPr>
                <w:rFonts w:ascii="Times New Roman" w:hAnsi="Times New Roman" w:cs="Times New Roman"/>
                <w:color w:val="000000"/>
                <w:sz w:val="20"/>
                <w:szCs w:val="20"/>
                <w:lang w:eastAsia="sk-SK"/>
              </w:rPr>
            </w:pPr>
            <w:r w:rsidRPr="00A33A28">
              <w:rPr>
                <w:rFonts w:ascii="Times New Roman" w:hAnsi="Times New Roman" w:cs="Times New Roman"/>
                <w:color w:val="000000"/>
                <w:sz w:val="20"/>
                <w:szCs w:val="20"/>
                <w:lang w:eastAsia="sk-SK"/>
              </w:rPr>
              <w:t>557 758</w:t>
            </w:r>
          </w:p>
        </w:tc>
        <w:tc>
          <w:tcPr>
            <w:tcW w:w="980" w:type="dxa"/>
            <w:shd w:val="clear" w:color="auto" w:fill="auto"/>
            <w:noWrap/>
            <w:vAlign w:val="center"/>
          </w:tcPr>
          <w:p w14:paraId="0AE1F49A" w14:textId="77777777" w:rsidR="00070D19" w:rsidRPr="00A33A28" w:rsidRDefault="00070D19" w:rsidP="00653141">
            <w:pPr>
              <w:spacing w:after="0" w:line="240" w:lineRule="auto"/>
              <w:jc w:val="center"/>
              <w:rPr>
                <w:rFonts w:ascii="Times New Roman" w:hAnsi="Times New Roman" w:cs="Times New Roman"/>
                <w:color w:val="000000"/>
                <w:sz w:val="20"/>
                <w:szCs w:val="20"/>
                <w:lang w:eastAsia="sk-SK"/>
              </w:rPr>
            </w:pPr>
            <w:r w:rsidRPr="00A33A28">
              <w:rPr>
                <w:rFonts w:ascii="Times New Roman" w:hAnsi="Times New Roman" w:cs="Times New Roman"/>
                <w:color w:val="000000"/>
                <w:sz w:val="20"/>
                <w:szCs w:val="20"/>
                <w:lang w:eastAsia="sk-SK"/>
              </w:rPr>
              <w:t>100</w:t>
            </w:r>
          </w:p>
        </w:tc>
      </w:tr>
    </w:tbl>
    <w:p w14:paraId="30AE4ED6" w14:textId="77777777" w:rsidR="00070D19" w:rsidRPr="00A33A28" w:rsidRDefault="00070D19" w:rsidP="00070D19">
      <w:pPr>
        <w:autoSpaceDE w:val="0"/>
        <w:autoSpaceDN w:val="0"/>
        <w:adjustRightInd w:val="0"/>
        <w:spacing w:after="0" w:line="240" w:lineRule="auto"/>
        <w:jc w:val="both"/>
        <w:rPr>
          <w:rFonts w:ascii="Times New Roman" w:hAnsi="Times New Roman" w:cs="Times New Roman"/>
          <w:sz w:val="16"/>
          <w:szCs w:val="16"/>
        </w:rPr>
      </w:pPr>
      <w:r w:rsidRPr="00A33A28">
        <w:rPr>
          <w:rFonts w:ascii="Times New Roman" w:hAnsi="Times New Roman" w:cs="Times New Roman"/>
          <w:sz w:val="16"/>
          <w:szCs w:val="16"/>
        </w:rPr>
        <w:t>Zdroj: Správa o stave malého a stredného podnikania v Slovenskej republike v roku 2016 (SBA) na základe údajov ŠÚ SR</w:t>
      </w:r>
    </w:p>
    <w:p w14:paraId="2A133A3D" w14:textId="77777777" w:rsidR="00070D19" w:rsidRPr="00A33A28" w:rsidRDefault="00070D19" w:rsidP="00070D19">
      <w:pPr>
        <w:tabs>
          <w:tab w:val="left" w:pos="0"/>
        </w:tabs>
        <w:spacing w:after="0" w:line="240" w:lineRule="auto"/>
        <w:ind w:firstLine="567"/>
        <w:contextualSpacing/>
        <w:jc w:val="both"/>
        <w:rPr>
          <w:rFonts w:ascii="Times New Roman" w:hAnsi="Times New Roman" w:cs="Times New Roman"/>
          <w:sz w:val="24"/>
          <w:szCs w:val="24"/>
        </w:rPr>
      </w:pPr>
    </w:p>
    <w:p w14:paraId="3EAE0F7A" w14:textId="77777777" w:rsidR="00070D19" w:rsidRPr="00A33A28" w:rsidRDefault="00070D19" w:rsidP="00070D19">
      <w:pPr>
        <w:tabs>
          <w:tab w:val="left" w:pos="0"/>
        </w:tabs>
        <w:spacing w:after="0" w:line="240" w:lineRule="auto"/>
        <w:ind w:firstLine="567"/>
        <w:contextualSpacing/>
        <w:jc w:val="both"/>
        <w:rPr>
          <w:rFonts w:ascii="Times New Roman" w:hAnsi="Times New Roman" w:cs="Times New Roman"/>
          <w:sz w:val="24"/>
          <w:szCs w:val="24"/>
        </w:rPr>
      </w:pPr>
      <w:r w:rsidRPr="00A33A28">
        <w:rPr>
          <w:rFonts w:ascii="Times New Roman" w:hAnsi="Times New Roman" w:cs="Times New Roman"/>
          <w:sz w:val="24"/>
          <w:szCs w:val="24"/>
        </w:rPr>
        <w:t xml:space="preserve">Vývoj celkovej početnosti aktívnych MSP (ďalej len „MSP“) pokračuje v rastúcom trende. Pod úrovňou početnosti subjektov z roku 2008 sa síce stále nachádza početnosť stredných subjektov (50 – 249), ale najmä malých podnikov (10 – 49), keďže dosiahla v roku 2016 </w:t>
      </w:r>
      <w:r w:rsidRPr="00A33A28">
        <w:rPr>
          <w:rFonts w:ascii="Times New Roman" w:hAnsi="Times New Roman" w:cs="Times New Roman"/>
          <w:sz w:val="24"/>
          <w:szCs w:val="24"/>
        </w:rPr>
        <w:br/>
        <w:t xml:space="preserve">len 43 % z dosahovaného počtu v predkrízovom roku 2008. Na druhej strane, v roku 2016 dochádza prvýkrát od roku 2008 k nárastu celkového počtu fyzických osôb – podnikateľov, nielen malých a stredných podnikov – právnických osôb. V oblasti zahraničného obchodu </w:t>
      </w:r>
      <w:r w:rsidRPr="00A33A28">
        <w:rPr>
          <w:rFonts w:ascii="Times New Roman" w:hAnsi="Times New Roman" w:cs="Times New Roman"/>
          <w:sz w:val="24"/>
          <w:szCs w:val="24"/>
        </w:rPr>
        <w:br/>
        <w:t xml:space="preserve">a zavádzania inovácií do hospodárskej praxe však nenastalo zlepšenie postavenia slovenských MSP, nielen v porovnaní s väčšími podnikmi, ale ani v porovnaní s MSP v krajinách Európskej únie (ďalej len „EÚ“). Prehlbovanie týchto medzier môže vzhľadom na vyššie spomínané postavenie MSP v národnom hospodárstve výrazným spôsobom ovplyvniť budúci </w:t>
      </w:r>
      <w:r w:rsidRPr="00A33A28">
        <w:rPr>
          <w:rFonts w:ascii="Times New Roman" w:hAnsi="Times New Roman" w:cs="Times New Roman"/>
          <w:sz w:val="24"/>
          <w:szCs w:val="24"/>
        </w:rPr>
        <w:br/>
        <w:t xml:space="preserve">spoločensko-ekonomický rozvoj Slovenska. Zintenzívnenie napĺňania adresných národných stratégií a politík, resp. vytváranie právneho prostredia zohľadňujúceho potreby MSP, </w:t>
      </w:r>
      <w:r w:rsidRPr="00A33A28">
        <w:rPr>
          <w:rFonts w:ascii="Times New Roman" w:hAnsi="Times New Roman" w:cs="Times New Roman"/>
          <w:sz w:val="24"/>
          <w:szCs w:val="24"/>
        </w:rPr>
        <w:br/>
        <w:t>ako aj zvýšenie efektívnosti realizácie projektov v rámci čerpania zdrojov štrukturálnych fondov EÚ v programovom období 2014 – 2020 predstavuje potenciál na zmenšenie spomínanej medzery.</w:t>
      </w:r>
    </w:p>
    <w:p w14:paraId="36948294" w14:textId="77777777" w:rsidR="00070D19" w:rsidRPr="00A33A28" w:rsidRDefault="00070D19" w:rsidP="00070D19">
      <w:pPr>
        <w:tabs>
          <w:tab w:val="left" w:pos="0"/>
        </w:tabs>
        <w:spacing w:after="0" w:line="240" w:lineRule="auto"/>
        <w:contextualSpacing/>
        <w:jc w:val="both"/>
        <w:rPr>
          <w:rFonts w:ascii="Times New Roman" w:hAnsi="Times New Roman" w:cs="Times New Roman"/>
          <w:b/>
          <w:sz w:val="24"/>
          <w:szCs w:val="24"/>
        </w:rPr>
      </w:pPr>
    </w:p>
    <w:p w14:paraId="7A6237A3" w14:textId="77777777" w:rsidR="00070D19" w:rsidRPr="00A33A28" w:rsidRDefault="00070D19" w:rsidP="00070D19">
      <w:pPr>
        <w:spacing w:after="0" w:line="240" w:lineRule="auto"/>
        <w:contextualSpacing/>
        <w:jc w:val="both"/>
        <w:rPr>
          <w:rFonts w:ascii="Times New Roman" w:hAnsi="Times New Roman" w:cs="Times New Roman"/>
          <w:b/>
          <w:sz w:val="24"/>
          <w:szCs w:val="24"/>
        </w:rPr>
      </w:pPr>
      <w:r w:rsidRPr="00A33A28">
        <w:rPr>
          <w:rFonts w:ascii="Times New Roman" w:hAnsi="Times New Roman" w:cs="Times New Roman"/>
          <w:b/>
          <w:sz w:val="24"/>
          <w:szCs w:val="24"/>
        </w:rPr>
        <w:t>1.2 Vývoj HDP</w:t>
      </w:r>
    </w:p>
    <w:p w14:paraId="24FD5A2F" w14:textId="77777777" w:rsidR="00070D19" w:rsidRPr="00A33A28" w:rsidRDefault="00070D19" w:rsidP="00070D19">
      <w:pPr>
        <w:spacing w:after="0" w:line="240" w:lineRule="auto"/>
        <w:jc w:val="both"/>
        <w:rPr>
          <w:rFonts w:ascii="Times New Roman" w:hAnsi="Times New Roman" w:cs="Times New Roman"/>
          <w:sz w:val="24"/>
          <w:szCs w:val="24"/>
        </w:rPr>
      </w:pPr>
      <w:r w:rsidRPr="00A33A28">
        <w:rPr>
          <w:rFonts w:ascii="Times New Roman" w:hAnsi="Times New Roman" w:cs="Times New Roman"/>
          <w:sz w:val="24"/>
          <w:szCs w:val="24"/>
        </w:rPr>
        <w:tab/>
      </w:r>
    </w:p>
    <w:p w14:paraId="26797B31" w14:textId="77777777" w:rsidR="00070D19" w:rsidRPr="00A33A28" w:rsidRDefault="00070D19" w:rsidP="00070D19">
      <w:pPr>
        <w:spacing w:after="0" w:line="240" w:lineRule="auto"/>
        <w:ind w:firstLine="708"/>
        <w:jc w:val="both"/>
        <w:rPr>
          <w:rFonts w:ascii="Times New Roman" w:hAnsi="Times New Roman" w:cs="Times New Roman"/>
          <w:sz w:val="24"/>
          <w:szCs w:val="24"/>
        </w:rPr>
      </w:pPr>
      <w:r w:rsidRPr="00A33A28">
        <w:rPr>
          <w:rFonts w:ascii="Times New Roman" w:hAnsi="Times New Roman" w:cs="Times New Roman"/>
          <w:sz w:val="24"/>
          <w:szCs w:val="24"/>
        </w:rPr>
        <w:t xml:space="preserve">Rast ekonomiky Slovenska sa dlhodobo drží nad priemerom únie. Slovensko v tempe hospodárskeho rastu stále patrí medzi najrýchlejšie rastúce krajiny EÚ. </w:t>
      </w:r>
    </w:p>
    <w:p w14:paraId="1D77D088" w14:textId="77777777" w:rsidR="00070D19" w:rsidRPr="00A33A28" w:rsidRDefault="00070D19" w:rsidP="00070D19">
      <w:pPr>
        <w:spacing w:after="0" w:line="240" w:lineRule="auto"/>
        <w:jc w:val="both"/>
        <w:rPr>
          <w:rFonts w:ascii="Times New Roman" w:hAnsi="Times New Roman" w:cs="Times New Roman"/>
          <w:b/>
          <w:sz w:val="24"/>
          <w:szCs w:val="24"/>
        </w:rPr>
      </w:pPr>
    </w:p>
    <w:p w14:paraId="1887C10F" w14:textId="10AF7CBE" w:rsidR="00506C08" w:rsidRDefault="00506C08" w:rsidP="00070D19">
      <w:pPr>
        <w:spacing w:after="0" w:line="240" w:lineRule="auto"/>
        <w:jc w:val="both"/>
        <w:rPr>
          <w:rFonts w:ascii="Times New Roman" w:hAnsi="Times New Roman" w:cs="Times New Roman"/>
          <w:b/>
          <w:sz w:val="24"/>
          <w:szCs w:val="24"/>
        </w:rPr>
      </w:pPr>
    </w:p>
    <w:p w14:paraId="14104678" w14:textId="77777777" w:rsidR="00506C08" w:rsidRPr="00506C08" w:rsidRDefault="00506C08" w:rsidP="00506C08">
      <w:pPr>
        <w:rPr>
          <w:rFonts w:ascii="Times New Roman" w:hAnsi="Times New Roman" w:cs="Times New Roman"/>
          <w:sz w:val="24"/>
          <w:szCs w:val="24"/>
        </w:rPr>
      </w:pPr>
    </w:p>
    <w:p w14:paraId="05168583" w14:textId="77777777" w:rsidR="00506C08" w:rsidRPr="00506C08" w:rsidRDefault="00506C08" w:rsidP="00506C08">
      <w:pPr>
        <w:rPr>
          <w:rFonts w:ascii="Times New Roman" w:hAnsi="Times New Roman" w:cs="Times New Roman"/>
          <w:sz w:val="24"/>
          <w:szCs w:val="24"/>
        </w:rPr>
      </w:pPr>
    </w:p>
    <w:p w14:paraId="29937D47" w14:textId="72BF3BD2" w:rsidR="00506C08" w:rsidRDefault="00506C08" w:rsidP="00506C08">
      <w:pPr>
        <w:rPr>
          <w:rFonts w:ascii="Times New Roman" w:hAnsi="Times New Roman" w:cs="Times New Roman"/>
          <w:sz w:val="24"/>
          <w:szCs w:val="24"/>
        </w:rPr>
      </w:pPr>
    </w:p>
    <w:p w14:paraId="15780003" w14:textId="77777777" w:rsidR="00070D19" w:rsidRPr="00506C08" w:rsidRDefault="00070D19" w:rsidP="00506C08">
      <w:pPr>
        <w:rPr>
          <w:rFonts w:ascii="Times New Roman" w:hAnsi="Times New Roman" w:cs="Times New Roman"/>
          <w:sz w:val="24"/>
          <w:szCs w:val="24"/>
        </w:rPr>
        <w:sectPr w:rsidR="00070D19" w:rsidRPr="00506C08" w:rsidSect="00506C08">
          <w:footerReference w:type="first" r:id="rId14"/>
          <w:endnotePr>
            <w:numFmt w:val="decimal"/>
          </w:endnotePr>
          <w:pgSz w:w="11906" w:h="16838" w:code="9"/>
          <w:pgMar w:top="851" w:right="1416" w:bottom="709" w:left="1134" w:header="709" w:footer="255" w:gutter="0"/>
          <w:paperSrc w:first="15" w:other="15"/>
          <w:pgNumType w:start="1"/>
          <w:cols w:space="708"/>
          <w:titlePg/>
          <w:docGrid w:linePitch="360"/>
        </w:sectPr>
      </w:pPr>
    </w:p>
    <w:p w14:paraId="2B061326" w14:textId="77777777" w:rsidR="00070D19" w:rsidRPr="00A33A28" w:rsidRDefault="00070D19" w:rsidP="00070D19">
      <w:pPr>
        <w:spacing w:after="0" w:line="240" w:lineRule="auto"/>
        <w:jc w:val="both"/>
        <w:rPr>
          <w:rFonts w:ascii="Times New Roman" w:hAnsi="Times New Roman" w:cs="Times New Roman"/>
          <w:b/>
          <w:sz w:val="24"/>
          <w:szCs w:val="24"/>
        </w:rPr>
      </w:pPr>
      <w:r w:rsidRPr="00A33A28">
        <w:rPr>
          <w:rFonts w:ascii="Times New Roman" w:hAnsi="Times New Roman" w:cs="Times New Roman"/>
          <w:b/>
          <w:sz w:val="24"/>
          <w:szCs w:val="24"/>
        </w:rPr>
        <w:lastRenderedPageBreak/>
        <w:t>Graf 1.2.1 Vývoj rastu HDP (v %)</w:t>
      </w:r>
    </w:p>
    <w:p w14:paraId="23196336" w14:textId="77777777" w:rsidR="00070D19" w:rsidRPr="00A33A28" w:rsidRDefault="00070D19" w:rsidP="00070D19">
      <w:pPr>
        <w:spacing w:after="0" w:line="240" w:lineRule="auto"/>
        <w:ind w:hanging="142"/>
        <w:jc w:val="both"/>
        <w:rPr>
          <w:rFonts w:ascii="Times New Roman" w:eastAsia="Times New Roman" w:hAnsi="Times New Roman" w:cs="Times New Roman"/>
          <w:sz w:val="24"/>
          <w:szCs w:val="24"/>
          <w:lang w:eastAsia="sk-SK"/>
        </w:rPr>
      </w:pPr>
      <w:r w:rsidRPr="00A33A28">
        <w:rPr>
          <w:rFonts w:ascii="Times New Roman" w:eastAsia="Times New Roman" w:hAnsi="Times New Roman" w:cs="Times New Roman"/>
          <w:noProof/>
          <w:sz w:val="24"/>
          <w:szCs w:val="24"/>
          <w:lang w:eastAsia="sk-SK"/>
        </w:rPr>
        <w:drawing>
          <wp:inline distT="0" distB="0" distL="0" distR="0" wp14:anchorId="5AB7B5FE" wp14:editId="54CDC1AA">
            <wp:extent cx="6048375" cy="2324100"/>
            <wp:effectExtent l="0" t="0" r="0" b="0"/>
            <wp:docPr id="1" name="Graf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1FFFD042" w14:textId="77777777" w:rsidR="00070D19" w:rsidRPr="00A33A28" w:rsidRDefault="00070D19" w:rsidP="00070D19">
      <w:pPr>
        <w:spacing w:after="0" w:line="240" w:lineRule="auto"/>
        <w:rPr>
          <w:rFonts w:ascii="Times New Roman" w:hAnsi="Times New Roman" w:cs="Times New Roman"/>
          <w:sz w:val="16"/>
          <w:szCs w:val="16"/>
        </w:rPr>
      </w:pPr>
      <w:r w:rsidRPr="00A33A28">
        <w:rPr>
          <w:rFonts w:ascii="Times New Roman" w:hAnsi="Times New Roman" w:cs="Times New Roman"/>
          <w:sz w:val="16"/>
          <w:szCs w:val="16"/>
        </w:rPr>
        <w:t xml:space="preserve">Zdroj: Svetová banka, </w:t>
      </w:r>
      <w:proofErr w:type="spellStart"/>
      <w:r w:rsidRPr="00A33A28">
        <w:rPr>
          <w:rFonts w:ascii="Times New Roman" w:hAnsi="Times New Roman" w:cs="Times New Roman"/>
          <w:sz w:val="16"/>
          <w:szCs w:val="16"/>
        </w:rPr>
        <w:t>Eurostat</w:t>
      </w:r>
      <w:proofErr w:type="spellEnd"/>
      <w:r w:rsidRPr="00A33A28">
        <w:rPr>
          <w:rStyle w:val="Odkaznapoznmkupodiarou"/>
          <w:sz w:val="16"/>
          <w:szCs w:val="16"/>
        </w:rPr>
        <w:footnoteReference w:id="1"/>
      </w:r>
    </w:p>
    <w:p w14:paraId="33E52BF3" w14:textId="77777777" w:rsidR="00070D19" w:rsidRPr="00A33A28" w:rsidRDefault="00070D19" w:rsidP="00070D19">
      <w:pPr>
        <w:spacing w:after="0" w:line="240" w:lineRule="auto"/>
        <w:ind w:hanging="142"/>
        <w:jc w:val="both"/>
        <w:rPr>
          <w:rFonts w:ascii="Times New Roman" w:eastAsia="Times New Roman" w:hAnsi="Times New Roman" w:cs="Times New Roman"/>
          <w:sz w:val="24"/>
          <w:szCs w:val="24"/>
          <w:lang w:eastAsia="sk-SK"/>
        </w:rPr>
      </w:pPr>
    </w:p>
    <w:p w14:paraId="79D3D70D" w14:textId="77777777" w:rsidR="00070D19" w:rsidRPr="00A33A28" w:rsidRDefault="00070D19" w:rsidP="00070D19">
      <w:pPr>
        <w:spacing w:after="0" w:line="240" w:lineRule="auto"/>
        <w:ind w:firstLine="709"/>
        <w:jc w:val="both"/>
        <w:rPr>
          <w:rFonts w:ascii="Times New Roman" w:eastAsia="Times New Roman" w:hAnsi="Times New Roman" w:cs="Times New Roman"/>
          <w:sz w:val="24"/>
          <w:szCs w:val="24"/>
          <w:lang w:eastAsia="sk-SK"/>
        </w:rPr>
      </w:pPr>
      <w:r w:rsidRPr="00A33A28">
        <w:rPr>
          <w:rFonts w:ascii="Times New Roman" w:eastAsia="Times New Roman" w:hAnsi="Times New Roman" w:cs="Times New Roman"/>
          <w:sz w:val="24"/>
          <w:szCs w:val="24"/>
          <w:lang w:eastAsia="sk-SK"/>
        </w:rPr>
        <w:t xml:space="preserve">Graf 1.2.1 poukazuje na vývoj HDP od roku 2008. Je možné konštatovať, že vývoj ekonomiky SR sa od krízového obdobia výrazne zlepšil. Od roku 2014 ekonomika Slovenska rastie a tempo medziročného rastu hrubého domáceho produktu (HDP) zostáva nad úrovňou 3 %. V roku 2016 dosiahol HDP rast na 3,3 %, čo predstavovalo 81,154 mil. eur. </w:t>
      </w:r>
    </w:p>
    <w:p w14:paraId="4EEDFC64" w14:textId="77777777" w:rsidR="00070D19" w:rsidRPr="00A33A28" w:rsidRDefault="00070D19" w:rsidP="00070D19">
      <w:pPr>
        <w:spacing w:after="0" w:line="240" w:lineRule="auto"/>
        <w:ind w:firstLine="708"/>
        <w:jc w:val="both"/>
        <w:rPr>
          <w:rFonts w:ascii="Times New Roman" w:eastAsia="Times New Roman" w:hAnsi="Times New Roman" w:cs="Times New Roman"/>
          <w:sz w:val="24"/>
          <w:szCs w:val="24"/>
          <w:lang w:eastAsia="sk-SK"/>
        </w:rPr>
      </w:pPr>
      <w:r w:rsidRPr="00A33A28">
        <w:rPr>
          <w:rFonts w:ascii="Times New Roman" w:eastAsia="Times New Roman" w:hAnsi="Times New Roman" w:cs="Times New Roman"/>
          <w:sz w:val="24"/>
          <w:szCs w:val="24"/>
          <w:lang w:eastAsia="sk-SK"/>
        </w:rPr>
        <w:t xml:space="preserve">HDP za rok 2017 je možné zhodnotiť len z jeho vývoja v 1. – 3. štvrťroku 2017. </w:t>
      </w:r>
      <w:r w:rsidRPr="00A33A28">
        <w:rPr>
          <w:rFonts w:ascii="Times New Roman" w:eastAsia="Times New Roman" w:hAnsi="Times New Roman" w:cs="Times New Roman"/>
          <w:sz w:val="24"/>
          <w:szCs w:val="24"/>
          <w:lang w:eastAsia="sk-SK"/>
        </w:rPr>
        <w:br/>
        <w:t xml:space="preserve">Za 4. štvrťrok disponujeme len rýchlym odhadom Štatistického úradu SR (ŠÚ SR). </w:t>
      </w:r>
      <w:r w:rsidRPr="00A33A28">
        <w:rPr>
          <w:rFonts w:ascii="Times New Roman" w:eastAsia="Times New Roman" w:hAnsi="Times New Roman" w:cs="Times New Roman"/>
          <w:sz w:val="24"/>
          <w:szCs w:val="24"/>
          <w:lang w:eastAsia="sk-SK"/>
        </w:rPr>
        <w:br/>
        <w:t>V 1. až 3. kvartáli 2017 dosiahla tvorba HDP hodnotu 62 850 mil. eur.</w:t>
      </w:r>
      <w:r w:rsidRPr="00A33A28">
        <w:t xml:space="preserve"> </w:t>
      </w:r>
      <w:r w:rsidRPr="00A33A28">
        <w:rPr>
          <w:rFonts w:ascii="Times New Roman" w:eastAsia="Times New Roman" w:hAnsi="Times New Roman" w:cs="Times New Roman"/>
          <w:sz w:val="24"/>
          <w:szCs w:val="24"/>
          <w:lang w:eastAsia="sk-SK"/>
        </w:rPr>
        <w:t xml:space="preserve">V 4. štvrťroku 2017 vzrástol HDP v stálych cenách v porovnaní so 4. štvrťrokom 2016 o 3,5 %, v bežných cenách </w:t>
      </w:r>
      <w:r w:rsidRPr="00A33A28">
        <w:rPr>
          <w:rFonts w:ascii="Times New Roman" w:eastAsia="Times New Roman" w:hAnsi="Times New Roman" w:cs="Times New Roman"/>
          <w:sz w:val="24"/>
          <w:szCs w:val="24"/>
          <w:lang w:eastAsia="sk-SK"/>
        </w:rPr>
        <w:br/>
        <w:t>sa vytvoril HDP v objeme 22 148,4 mil. eur (nárast o 5,4 % oproti 4. štvrťroku 2016).</w:t>
      </w:r>
    </w:p>
    <w:p w14:paraId="1AF86D1C" w14:textId="77777777" w:rsidR="00070D19" w:rsidRPr="00A33A28" w:rsidRDefault="00070D19" w:rsidP="00070D19">
      <w:pPr>
        <w:spacing w:after="0" w:line="240" w:lineRule="auto"/>
        <w:ind w:firstLine="708"/>
        <w:jc w:val="both"/>
        <w:rPr>
          <w:rFonts w:ascii="Times New Roman" w:eastAsia="Times New Roman" w:hAnsi="Times New Roman" w:cs="Times New Roman"/>
          <w:sz w:val="24"/>
          <w:szCs w:val="24"/>
          <w:lang w:eastAsia="sk-SK"/>
        </w:rPr>
      </w:pPr>
      <w:r w:rsidRPr="00A33A28">
        <w:rPr>
          <w:rFonts w:ascii="Times New Roman" w:eastAsia="Times New Roman" w:hAnsi="Times New Roman" w:cs="Times New Roman"/>
          <w:sz w:val="24"/>
          <w:szCs w:val="24"/>
          <w:lang w:eastAsia="sk-SK"/>
        </w:rPr>
        <w:t>Hospodársky rast Slovenska podľa prognózy Európskej komisie dosiahne za rok 2017 úroveň 3,4 % HDP najmä v dôsledku vyšších výdavkov domácností a oživenia investícií. Rast by mal pokračovať aj v rokoch 2018 a 2019 na úrovni 4,0 %, resp. 4,2 % a to vďaka zlepšujúcim sa podmienkam na trhu práce a nárastu investícií v súkromnom sektore.</w:t>
      </w:r>
      <w:r w:rsidRPr="00A33A28">
        <w:rPr>
          <w:rFonts w:ascii="Times New Roman" w:hAnsi="Times New Roman" w:cs="Times New Roman"/>
          <w:sz w:val="24"/>
          <w:szCs w:val="24"/>
        </w:rPr>
        <w:t xml:space="preserve"> Slovensko by malo profitovať </w:t>
      </w:r>
      <w:r w:rsidRPr="00A33A28">
        <w:rPr>
          <w:rFonts w:ascii="Times New Roman" w:eastAsia="Times New Roman" w:hAnsi="Times New Roman" w:cs="Times New Roman"/>
          <w:sz w:val="24"/>
          <w:szCs w:val="24"/>
          <w:lang w:eastAsia="sk-SK"/>
        </w:rPr>
        <w:t>najmä z rozšírenej výroby v automobilovom priemysle.</w:t>
      </w:r>
    </w:p>
    <w:p w14:paraId="477E8A69" w14:textId="77777777" w:rsidR="00070D19" w:rsidRPr="00A33A28" w:rsidRDefault="00070D19" w:rsidP="00070D19">
      <w:pPr>
        <w:spacing w:after="0" w:line="240" w:lineRule="auto"/>
        <w:jc w:val="both"/>
        <w:rPr>
          <w:rFonts w:ascii="Times New Roman" w:hAnsi="Times New Roman" w:cs="Times New Roman"/>
          <w:b/>
          <w:sz w:val="24"/>
          <w:szCs w:val="24"/>
        </w:rPr>
      </w:pPr>
    </w:p>
    <w:p w14:paraId="5C90C3AC" w14:textId="77777777" w:rsidR="00070D19" w:rsidRPr="00A33A28" w:rsidRDefault="00070D19" w:rsidP="00070D19">
      <w:pPr>
        <w:spacing w:after="0" w:line="240" w:lineRule="auto"/>
        <w:jc w:val="both"/>
        <w:rPr>
          <w:rFonts w:ascii="Times New Roman" w:hAnsi="Times New Roman" w:cs="Times New Roman"/>
          <w:b/>
          <w:sz w:val="24"/>
          <w:szCs w:val="24"/>
        </w:rPr>
      </w:pPr>
      <w:r w:rsidRPr="00A33A28">
        <w:rPr>
          <w:rFonts w:ascii="Times New Roman" w:hAnsi="Times New Roman" w:cs="Times New Roman"/>
          <w:b/>
          <w:sz w:val="24"/>
          <w:szCs w:val="24"/>
        </w:rPr>
        <w:t>1.3 Trh práce a vzdelávanie</w:t>
      </w:r>
    </w:p>
    <w:p w14:paraId="38AF7C0B" w14:textId="77777777" w:rsidR="00070D19" w:rsidRPr="00A33A28" w:rsidRDefault="00070D19" w:rsidP="00070D19">
      <w:pPr>
        <w:spacing w:after="0" w:line="240" w:lineRule="auto"/>
        <w:ind w:firstLine="708"/>
        <w:jc w:val="both"/>
        <w:rPr>
          <w:rFonts w:ascii="Times New Roman" w:hAnsi="Times New Roman" w:cs="Times New Roman"/>
          <w:sz w:val="24"/>
          <w:szCs w:val="24"/>
        </w:rPr>
      </w:pPr>
    </w:p>
    <w:p w14:paraId="3F3694AD" w14:textId="77777777" w:rsidR="00070D19" w:rsidRPr="00A33A28" w:rsidRDefault="00070D19" w:rsidP="00070D19">
      <w:pPr>
        <w:spacing w:after="0" w:line="240" w:lineRule="auto"/>
        <w:ind w:firstLine="708"/>
        <w:jc w:val="both"/>
        <w:rPr>
          <w:rFonts w:ascii="Times New Roman" w:hAnsi="Times New Roman" w:cs="Times New Roman"/>
          <w:sz w:val="24"/>
          <w:szCs w:val="24"/>
        </w:rPr>
      </w:pPr>
      <w:r w:rsidRPr="00A33A28">
        <w:rPr>
          <w:rFonts w:ascii="Times New Roman" w:hAnsi="Times New Roman" w:cs="Times New Roman"/>
          <w:sz w:val="24"/>
          <w:szCs w:val="24"/>
        </w:rPr>
        <w:t>Nasledujúca časť materiálu poskytuje prehľad o vývoji ukazovateľov týkajúcich sa trhu práce a vzdelávania v SR. Naším cieľom je poskytnúť sumárny obraz o možnostiach zamestnania z pohľadu nedostatku pracovnej sily. Ide o tému, ktorá je diskutovaná nielen v SR, ale aj na pôde Európskej únie.</w:t>
      </w:r>
    </w:p>
    <w:p w14:paraId="2BF29328" w14:textId="77777777" w:rsidR="00070D19" w:rsidRPr="00A33A28" w:rsidRDefault="00070D19" w:rsidP="00070D19">
      <w:pPr>
        <w:spacing w:after="0" w:line="240" w:lineRule="auto"/>
        <w:jc w:val="both"/>
        <w:rPr>
          <w:rFonts w:ascii="Times New Roman" w:hAnsi="Times New Roman" w:cs="Times New Roman"/>
          <w:sz w:val="24"/>
          <w:szCs w:val="24"/>
        </w:rPr>
      </w:pPr>
    </w:p>
    <w:p w14:paraId="14042500" w14:textId="77777777" w:rsidR="00070D19" w:rsidRPr="00A33A28" w:rsidRDefault="00070D19" w:rsidP="00070D19">
      <w:pPr>
        <w:spacing w:after="0" w:line="240" w:lineRule="auto"/>
        <w:jc w:val="both"/>
        <w:rPr>
          <w:rFonts w:ascii="Times New Roman" w:hAnsi="Times New Roman" w:cs="Times New Roman"/>
          <w:i/>
          <w:sz w:val="24"/>
          <w:szCs w:val="24"/>
        </w:rPr>
      </w:pPr>
      <w:r w:rsidRPr="00A33A28">
        <w:rPr>
          <w:rFonts w:ascii="Times New Roman" w:hAnsi="Times New Roman" w:cs="Times New Roman"/>
          <w:i/>
          <w:sz w:val="24"/>
          <w:szCs w:val="24"/>
        </w:rPr>
        <w:t>Nezamestnanosť</w:t>
      </w:r>
    </w:p>
    <w:p w14:paraId="7E0C1EB4" w14:textId="77777777" w:rsidR="00070D19" w:rsidRPr="00A33A28" w:rsidRDefault="00070D19" w:rsidP="00070D19">
      <w:pPr>
        <w:spacing w:after="0" w:line="240" w:lineRule="auto"/>
        <w:ind w:firstLine="708"/>
        <w:jc w:val="both"/>
        <w:rPr>
          <w:rFonts w:ascii="Times New Roman" w:hAnsi="Times New Roman" w:cs="Times New Roman"/>
          <w:sz w:val="24"/>
          <w:szCs w:val="24"/>
        </w:rPr>
      </w:pPr>
      <w:r w:rsidRPr="00A33A28">
        <w:rPr>
          <w:rFonts w:ascii="Times New Roman" w:hAnsi="Times New Roman" w:cs="Times New Roman"/>
          <w:sz w:val="24"/>
          <w:szCs w:val="24"/>
        </w:rPr>
        <w:t>V roku 2017 pokračoval klesajúci trend nezamestnanosti, ktorý začal v roku 2016, pričom počet nezamestnaných sa podľa Všeobecnej zdravotnej poisťovne medziročne (v porovnaní s 3. štvrťrokom 2016) znížil o 42,2 tis. osôb, čo predstavuje 16,1 % pokles nezamestnaných na úroveň na 220,2 tis. osôb. Miera nezamestnanosti v 3. štvrťroku 2017 klesla na úroveň 8 % (pozri graf 1.3.1 vývoj priemernej miery nezamestnanosti na Slovensku od roku 2008).</w:t>
      </w:r>
    </w:p>
    <w:p w14:paraId="3202D7F4" w14:textId="77777777" w:rsidR="00070D19" w:rsidRPr="00A33A28" w:rsidRDefault="00070D19" w:rsidP="00070D19">
      <w:pPr>
        <w:spacing w:after="0" w:line="240" w:lineRule="auto"/>
        <w:ind w:firstLine="708"/>
        <w:jc w:val="both"/>
        <w:rPr>
          <w:rFonts w:ascii="Times New Roman" w:hAnsi="Times New Roman" w:cs="Times New Roman"/>
          <w:sz w:val="24"/>
          <w:szCs w:val="24"/>
        </w:rPr>
      </w:pPr>
      <w:r w:rsidRPr="00A33A28">
        <w:rPr>
          <w:rFonts w:ascii="Times New Roman" w:hAnsi="Times New Roman" w:cs="Times New Roman"/>
          <w:sz w:val="24"/>
          <w:szCs w:val="24"/>
        </w:rPr>
        <w:t>Dôvodov, prečo má nezamestnanosť klesajúci trend je viacero:</w:t>
      </w:r>
    </w:p>
    <w:p w14:paraId="32236928" w14:textId="77777777" w:rsidR="00070D19" w:rsidRPr="00A33A28" w:rsidRDefault="00070D19" w:rsidP="00070D19">
      <w:pPr>
        <w:pStyle w:val="Odsekzoznamu"/>
        <w:numPr>
          <w:ilvl w:val="0"/>
          <w:numId w:val="7"/>
        </w:numPr>
        <w:rPr>
          <w:rFonts w:ascii="Times New Roman" w:hAnsi="Times New Roman" w:cs="Times New Roman"/>
          <w:sz w:val="24"/>
          <w:szCs w:val="24"/>
        </w:rPr>
      </w:pPr>
      <w:r w:rsidRPr="00A33A28">
        <w:rPr>
          <w:rFonts w:ascii="Times New Roman" w:hAnsi="Times New Roman" w:cs="Times New Roman"/>
          <w:sz w:val="24"/>
          <w:szCs w:val="24"/>
        </w:rPr>
        <w:t>ekonomický rast krajiny poskytuje dostatočný priestor na tvorbu pracovných miest,</w:t>
      </w:r>
    </w:p>
    <w:p w14:paraId="1386023E" w14:textId="77777777" w:rsidR="00070D19" w:rsidRPr="00A33A28" w:rsidRDefault="00070D19" w:rsidP="00070D19">
      <w:pPr>
        <w:pStyle w:val="Odsekzoznamu"/>
        <w:numPr>
          <w:ilvl w:val="0"/>
          <w:numId w:val="7"/>
        </w:numPr>
        <w:rPr>
          <w:rFonts w:ascii="Times New Roman" w:hAnsi="Times New Roman" w:cs="Times New Roman"/>
          <w:sz w:val="24"/>
          <w:szCs w:val="24"/>
        </w:rPr>
      </w:pPr>
      <w:r w:rsidRPr="00A33A28">
        <w:rPr>
          <w:rFonts w:ascii="Times New Roman" w:hAnsi="Times New Roman" w:cs="Times New Roman"/>
          <w:sz w:val="24"/>
          <w:szCs w:val="24"/>
        </w:rPr>
        <w:t>aktívne politiky na trhu práce financované z európskych štrukturálnych fondov,</w:t>
      </w:r>
    </w:p>
    <w:p w14:paraId="1710CEC8" w14:textId="77777777" w:rsidR="00070D19" w:rsidRPr="00A33A28" w:rsidRDefault="00070D19" w:rsidP="00070D19">
      <w:pPr>
        <w:pStyle w:val="Odsekzoznamu"/>
        <w:numPr>
          <w:ilvl w:val="0"/>
          <w:numId w:val="7"/>
        </w:numPr>
        <w:rPr>
          <w:rFonts w:ascii="Times New Roman" w:hAnsi="Times New Roman" w:cs="Times New Roman"/>
          <w:sz w:val="24"/>
          <w:szCs w:val="24"/>
        </w:rPr>
      </w:pPr>
      <w:r w:rsidRPr="00A33A28">
        <w:rPr>
          <w:rFonts w:ascii="Times New Roman" w:hAnsi="Times New Roman" w:cs="Times New Roman"/>
          <w:sz w:val="24"/>
          <w:szCs w:val="24"/>
        </w:rPr>
        <w:t xml:space="preserve">najvýraznejším faktorom je pravdepodobne demografická zmena, ktorá </w:t>
      </w:r>
      <w:r w:rsidRPr="00A33A28">
        <w:rPr>
          <w:rFonts w:ascii="Times New Roman" w:hAnsi="Times New Roman" w:cs="Times New Roman"/>
          <w:sz w:val="24"/>
          <w:szCs w:val="24"/>
        </w:rPr>
        <w:br/>
        <w:t>je spôsobená tým, že do dôchodku v súčasnosti odchádzajú populačne najsilnejšie ročníky (</w:t>
      </w:r>
      <w:proofErr w:type="spellStart"/>
      <w:r w:rsidRPr="00A33A28">
        <w:rPr>
          <w:rFonts w:ascii="Times New Roman" w:hAnsi="Times New Roman" w:cs="Times New Roman"/>
          <w:sz w:val="24"/>
          <w:szCs w:val="24"/>
        </w:rPr>
        <w:t>nar</w:t>
      </w:r>
      <w:proofErr w:type="spellEnd"/>
      <w:r w:rsidRPr="00A33A28">
        <w:rPr>
          <w:rFonts w:ascii="Times New Roman" w:hAnsi="Times New Roman" w:cs="Times New Roman"/>
          <w:sz w:val="24"/>
          <w:szCs w:val="24"/>
        </w:rPr>
        <w:t>. 1952-1956) a nahrádzajú ich populačne najslabšie (</w:t>
      </w:r>
      <w:proofErr w:type="spellStart"/>
      <w:r w:rsidRPr="00A33A28">
        <w:rPr>
          <w:rFonts w:ascii="Times New Roman" w:hAnsi="Times New Roman" w:cs="Times New Roman"/>
          <w:sz w:val="24"/>
          <w:szCs w:val="24"/>
        </w:rPr>
        <w:t>nar</w:t>
      </w:r>
      <w:proofErr w:type="spellEnd"/>
      <w:r w:rsidRPr="00A33A28">
        <w:rPr>
          <w:rFonts w:ascii="Times New Roman" w:hAnsi="Times New Roman" w:cs="Times New Roman"/>
          <w:sz w:val="24"/>
          <w:szCs w:val="24"/>
        </w:rPr>
        <w:t xml:space="preserve">. 1992-1995). </w:t>
      </w:r>
    </w:p>
    <w:p w14:paraId="7AD9825A" w14:textId="77777777" w:rsidR="00070D19" w:rsidRPr="00A33A28" w:rsidRDefault="00070D19" w:rsidP="00070D19">
      <w:pPr>
        <w:spacing w:after="0" w:line="240" w:lineRule="auto"/>
        <w:ind w:firstLine="708"/>
        <w:jc w:val="both"/>
        <w:rPr>
          <w:rFonts w:ascii="Times New Roman" w:hAnsi="Times New Roman" w:cs="Times New Roman"/>
          <w:sz w:val="24"/>
          <w:szCs w:val="24"/>
        </w:rPr>
      </w:pPr>
      <w:r w:rsidRPr="00A33A28">
        <w:rPr>
          <w:rFonts w:ascii="Times New Roman" w:hAnsi="Times New Roman" w:cs="Times New Roman"/>
          <w:sz w:val="24"/>
          <w:szCs w:val="24"/>
        </w:rPr>
        <w:lastRenderedPageBreak/>
        <w:t xml:space="preserve">Miera nezamestnanosti sa bude postupne znižovať, čo naznačuje ďalšie zhoršenie situácie na trhu práce pre zamestnávateľov z dôvodu nedostatku kvalifikovanej pracovnej sily.  </w:t>
      </w:r>
    </w:p>
    <w:p w14:paraId="056AC3A4" w14:textId="77777777" w:rsidR="00070D19" w:rsidRPr="00A33A28" w:rsidRDefault="00070D19" w:rsidP="00070D19">
      <w:pPr>
        <w:spacing w:after="0" w:line="240" w:lineRule="auto"/>
        <w:jc w:val="both"/>
        <w:rPr>
          <w:rFonts w:ascii="Times New Roman" w:hAnsi="Times New Roman" w:cs="Times New Roman"/>
          <w:b/>
          <w:sz w:val="24"/>
          <w:szCs w:val="24"/>
        </w:rPr>
      </w:pPr>
    </w:p>
    <w:p w14:paraId="6BE01150" w14:textId="77777777" w:rsidR="00070D19" w:rsidRPr="00A33A28" w:rsidRDefault="00070D19" w:rsidP="00070D19">
      <w:pPr>
        <w:spacing w:after="0" w:line="240" w:lineRule="auto"/>
        <w:jc w:val="both"/>
        <w:rPr>
          <w:rFonts w:ascii="Times New Roman" w:hAnsi="Times New Roman" w:cs="Times New Roman"/>
          <w:b/>
          <w:sz w:val="24"/>
          <w:szCs w:val="24"/>
        </w:rPr>
      </w:pPr>
      <w:r w:rsidRPr="00A33A28">
        <w:rPr>
          <w:rFonts w:ascii="Times New Roman" w:hAnsi="Times New Roman" w:cs="Times New Roman"/>
          <w:b/>
          <w:sz w:val="24"/>
          <w:szCs w:val="24"/>
        </w:rPr>
        <w:t>Graf 1.3.1 Vývoj priemernej miery nezamestnanosti v SR v %</w:t>
      </w:r>
    </w:p>
    <w:p w14:paraId="0E0526BF" w14:textId="77777777" w:rsidR="00070D19" w:rsidRPr="00A33A28" w:rsidRDefault="00070D19" w:rsidP="00070D19">
      <w:pPr>
        <w:spacing w:after="0" w:line="240" w:lineRule="auto"/>
        <w:jc w:val="both"/>
        <w:rPr>
          <w:rFonts w:ascii="Times New Roman" w:hAnsi="Times New Roman" w:cs="Times New Roman"/>
          <w:sz w:val="24"/>
          <w:szCs w:val="24"/>
        </w:rPr>
      </w:pPr>
      <w:r w:rsidRPr="00A33A28">
        <w:rPr>
          <w:rFonts w:ascii="Times New Roman" w:hAnsi="Times New Roman" w:cs="Times New Roman"/>
          <w:noProof/>
          <w:sz w:val="24"/>
          <w:szCs w:val="24"/>
          <w:lang w:eastAsia="sk-SK"/>
        </w:rPr>
        <w:drawing>
          <wp:inline distT="0" distB="0" distL="0" distR="0" wp14:anchorId="748B8247" wp14:editId="2711D0BC">
            <wp:extent cx="5650230" cy="1613140"/>
            <wp:effectExtent l="0" t="0" r="7620" b="6350"/>
            <wp:docPr id="2" name="Graf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76AC2A73" w14:textId="77777777" w:rsidR="00070D19" w:rsidRPr="00A33A28" w:rsidRDefault="00070D19" w:rsidP="00070D19">
      <w:pPr>
        <w:spacing w:after="0" w:line="240" w:lineRule="auto"/>
        <w:jc w:val="both"/>
        <w:rPr>
          <w:rFonts w:ascii="Times New Roman" w:hAnsi="Times New Roman" w:cs="Times New Roman"/>
          <w:sz w:val="16"/>
          <w:szCs w:val="16"/>
        </w:rPr>
      </w:pPr>
      <w:r w:rsidRPr="00A33A28">
        <w:rPr>
          <w:rFonts w:ascii="Times New Roman" w:hAnsi="Times New Roman" w:cs="Times New Roman"/>
          <w:sz w:val="16"/>
          <w:szCs w:val="16"/>
        </w:rPr>
        <w:t xml:space="preserve">Zdroj: </w:t>
      </w:r>
      <w:proofErr w:type="spellStart"/>
      <w:r w:rsidRPr="00A33A28">
        <w:rPr>
          <w:rFonts w:ascii="Times New Roman" w:hAnsi="Times New Roman" w:cs="Times New Roman"/>
          <w:sz w:val="16"/>
          <w:szCs w:val="16"/>
        </w:rPr>
        <w:t>Eurostat</w:t>
      </w:r>
      <w:proofErr w:type="spellEnd"/>
      <w:r w:rsidRPr="00A33A28">
        <w:rPr>
          <w:rFonts w:ascii="Times New Roman" w:hAnsi="Times New Roman" w:cs="Times New Roman"/>
          <w:sz w:val="16"/>
          <w:szCs w:val="16"/>
        </w:rPr>
        <w:t>, Štatistický úrad SR</w:t>
      </w:r>
    </w:p>
    <w:p w14:paraId="45E57F67" w14:textId="77777777" w:rsidR="00070D19" w:rsidRPr="00A33A28" w:rsidRDefault="00070D19" w:rsidP="00070D19">
      <w:pPr>
        <w:spacing w:after="0" w:line="240" w:lineRule="auto"/>
        <w:jc w:val="both"/>
        <w:rPr>
          <w:rFonts w:ascii="Times New Roman" w:hAnsi="Times New Roman" w:cs="Times New Roman"/>
          <w:sz w:val="16"/>
          <w:szCs w:val="16"/>
        </w:rPr>
      </w:pPr>
    </w:p>
    <w:p w14:paraId="1055758D" w14:textId="77777777" w:rsidR="00070D19" w:rsidRPr="00A33A28" w:rsidRDefault="00070D19" w:rsidP="00070D19">
      <w:pPr>
        <w:spacing w:after="0" w:line="240" w:lineRule="auto"/>
        <w:ind w:firstLine="709"/>
        <w:jc w:val="both"/>
        <w:rPr>
          <w:rFonts w:ascii="Times New Roman" w:hAnsi="Times New Roman" w:cs="Times New Roman"/>
          <w:sz w:val="24"/>
          <w:szCs w:val="24"/>
        </w:rPr>
      </w:pPr>
      <w:r w:rsidRPr="00A33A28">
        <w:rPr>
          <w:rFonts w:ascii="Times New Roman" w:hAnsi="Times New Roman" w:cs="Times New Roman"/>
          <w:sz w:val="24"/>
          <w:szCs w:val="24"/>
        </w:rPr>
        <w:t xml:space="preserve">Klesajúcu nezamestnanosť ovplyvňuje aj krátkodobá migrácia za prácou do zahraničia. Trend krátkodobej migrácie sa od roku 2008 postupne znížil (pozri graf 1.3.2) z dôvodu, </w:t>
      </w:r>
      <w:r w:rsidRPr="00A33A28">
        <w:rPr>
          <w:rFonts w:ascii="Times New Roman" w:hAnsi="Times New Roman" w:cs="Times New Roman"/>
          <w:sz w:val="24"/>
          <w:szCs w:val="24"/>
        </w:rPr>
        <w:br/>
        <w:t>že vo všetkých národných ekonomikách klesol počet pracovných miest vplyvom ekonomickej krízy. Tento počet sa v pokrízovom období stabilizoval a následne je opäť od roku 2012 možné sledovať postupne sa zvyšujúci počet krátkodobo pracujúcich v zahraničí. Pracovná sila v rámci krátkodobej migrácie predstavuje potenciál pre slovenských podnikateľov na obsadenie voľných pracovných miest, ktoré ponúkajú.</w:t>
      </w:r>
    </w:p>
    <w:p w14:paraId="398B619D" w14:textId="77777777" w:rsidR="00070D19" w:rsidRPr="00A33A28" w:rsidRDefault="00070D19" w:rsidP="00070D19">
      <w:pPr>
        <w:spacing w:after="0" w:line="240" w:lineRule="auto"/>
        <w:jc w:val="both"/>
        <w:rPr>
          <w:rFonts w:ascii="Times New Roman" w:hAnsi="Times New Roman" w:cs="Times New Roman"/>
          <w:sz w:val="24"/>
          <w:szCs w:val="24"/>
        </w:rPr>
      </w:pPr>
    </w:p>
    <w:p w14:paraId="332C9123" w14:textId="77777777" w:rsidR="00070D19" w:rsidRPr="00A33A28" w:rsidRDefault="00070D19" w:rsidP="00070D19">
      <w:pPr>
        <w:spacing w:after="0" w:line="240" w:lineRule="auto"/>
        <w:jc w:val="both"/>
        <w:rPr>
          <w:rFonts w:ascii="Times New Roman" w:hAnsi="Times New Roman" w:cs="Times New Roman"/>
          <w:b/>
          <w:sz w:val="24"/>
          <w:szCs w:val="24"/>
        </w:rPr>
      </w:pPr>
      <w:r w:rsidRPr="00A33A28">
        <w:rPr>
          <w:rFonts w:ascii="Times New Roman" w:hAnsi="Times New Roman" w:cs="Times New Roman"/>
          <w:b/>
          <w:sz w:val="24"/>
          <w:szCs w:val="24"/>
        </w:rPr>
        <w:t>Graf 1.3.2 Vývoj krátkodobej migrácie za prácou do zahraničia (v tis. osôb)</w:t>
      </w:r>
    </w:p>
    <w:p w14:paraId="4FC8C208" w14:textId="77777777" w:rsidR="00070D19" w:rsidRPr="00A33A28" w:rsidRDefault="00070D19" w:rsidP="00070D19">
      <w:pPr>
        <w:spacing w:after="0" w:line="240" w:lineRule="auto"/>
        <w:jc w:val="both"/>
        <w:rPr>
          <w:rFonts w:ascii="Times New Roman" w:hAnsi="Times New Roman" w:cs="Times New Roman"/>
          <w:sz w:val="24"/>
          <w:szCs w:val="24"/>
        </w:rPr>
      </w:pPr>
      <w:r w:rsidRPr="00A33A28">
        <w:rPr>
          <w:rFonts w:ascii="Times New Roman" w:hAnsi="Times New Roman" w:cs="Times New Roman"/>
          <w:noProof/>
          <w:sz w:val="24"/>
          <w:szCs w:val="24"/>
          <w:lang w:eastAsia="sk-SK"/>
        </w:rPr>
        <w:drawing>
          <wp:inline distT="0" distB="0" distL="0" distR="0" wp14:anchorId="71818859" wp14:editId="1158A630">
            <wp:extent cx="5924550" cy="1600200"/>
            <wp:effectExtent l="0" t="0" r="0" b="0"/>
            <wp:docPr id="8" name="Graf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63C89056" w14:textId="77777777" w:rsidR="00070D19" w:rsidRPr="00A33A28" w:rsidRDefault="00070D19" w:rsidP="00070D19">
      <w:pPr>
        <w:spacing w:after="0" w:line="240" w:lineRule="auto"/>
        <w:jc w:val="both"/>
        <w:rPr>
          <w:rFonts w:ascii="Times New Roman" w:hAnsi="Times New Roman" w:cs="Times New Roman"/>
          <w:sz w:val="16"/>
          <w:szCs w:val="16"/>
        </w:rPr>
      </w:pPr>
      <w:r w:rsidRPr="00A33A28">
        <w:rPr>
          <w:rFonts w:ascii="Times New Roman" w:hAnsi="Times New Roman" w:cs="Times New Roman"/>
          <w:sz w:val="16"/>
          <w:szCs w:val="16"/>
        </w:rPr>
        <w:t>Zdroj: Štatistický úrad SR</w:t>
      </w:r>
      <w:r w:rsidRPr="00A33A28">
        <w:rPr>
          <w:rStyle w:val="Odkaznapoznmkupodiarou"/>
          <w:sz w:val="16"/>
          <w:szCs w:val="16"/>
        </w:rPr>
        <w:footnoteReference w:id="2"/>
      </w:r>
    </w:p>
    <w:p w14:paraId="20560E82" w14:textId="77777777" w:rsidR="00070D19" w:rsidRPr="00A33A28" w:rsidRDefault="00070D19" w:rsidP="00070D19">
      <w:pPr>
        <w:spacing w:after="0" w:line="240" w:lineRule="auto"/>
        <w:jc w:val="both"/>
        <w:rPr>
          <w:rFonts w:ascii="Times New Roman" w:hAnsi="Times New Roman" w:cs="Times New Roman"/>
          <w:sz w:val="16"/>
          <w:szCs w:val="16"/>
        </w:rPr>
      </w:pPr>
    </w:p>
    <w:p w14:paraId="20774DD9" w14:textId="77777777" w:rsidR="00070D19" w:rsidRPr="00A33A28" w:rsidRDefault="00070D19" w:rsidP="00070D19">
      <w:pPr>
        <w:spacing w:after="0" w:line="240" w:lineRule="auto"/>
        <w:ind w:firstLine="709"/>
        <w:jc w:val="both"/>
        <w:rPr>
          <w:rFonts w:ascii="Times New Roman" w:hAnsi="Times New Roman" w:cs="Times New Roman"/>
          <w:sz w:val="24"/>
          <w:szCs w:val="24"/>
        </w:rPr>
      </w:pPr>
      <w:r w:rsidRPr="00A33A28">
        <w:rPr>
          <w:rFonts w:ascii="Times New Roman" w:hAnsi="Times New Roman" w:cs="Times New Roman"/>
          <w:sz w:val="24"/>
          <w:szCs w:val="24"/>
        </w:rPr>
        <w:t xml:space="preserve">Najvyšší percentuálny podiel (66,4 %) na krátkodobej migrácii za prácou do zahraničia v rámci Slovenska predstavujú kraje východného Slovenska, najmä Prešovský kraj (41,5 %), ktorého percentuálny podiel je približne zhodný s percentuálnym podielom celého západného Slovenska okrem Bratislavy (38,2 %). 48 % podiel majú kraje stredného Slovenska a na záver kraje západného Slovenska. Najnižší percentuálny podiel má Trnavský kraj, a to 6,8 %, ktorý dobehol aj Bratislavský kraj. Z toho vyplýva, že najväčší potenciál voľnej pracovnej sily </w:t>
      </w:r>
      <w:r w:rsidRPr="00A33A28">
        <w:rPr>
          <w:rFonts w:ascii="Times New Roman" w:hAnsi="Times New Roman" w:cs="Times New Roman"/>
          <w:sz w:val="24"/>
          <w:szCs w:val="24"/>
        </w:rPr>
        <w:br/>
        <w:t xml:space="preserve">je na východnom Slovensku, za podmienky, že by pracovná sila pochádzajúca z Košického a Prešovského kraja uprednostnila zamestnanie na Slovensku pred krátkodobou migráciou </w:t>
      </w:r>
      <w:r w:rsidRPr="00A33A28">
        <w:rPr>
          <w:rFonts w:ascii="Times New Roman" w:hAnsi="Times New Roman" w:cs="Times New Roman"/>
          <w:sz w:val="24"/>
          <w:szCs w:val="24"/>
        </w:rPr>
        <w:br/>
        <w:t xml:space="preserve">do zahraničia. </w:t>
      </w:r>
    </w:p>
    <w:p w14:paraId="1BF22F4A" w14:textId="77777777" w:rsidR="00070D19" w:rsidRPr="00A33A28" w:rsidRDefault="00070D19" w:rsidP="00070D19">
      <w:pPr>
        <w:spacing w:after="0" w:line="240" w:lineRule="auto"/>
        <w:ind w:firstLine="709"/>
        <w:jc w:val="both"/>
        <w:rPr>
          <w:rFonts w:ascii="Times New Roman" w:hAnsi="Times New Roman" w:cs="Times New Roman"/>
          <w:sz w:val="24"/>
          <w:szCs w:val="24"/>
        </w:rPr>
      </w:pPr>
    </w:p>
    <w:p w14:paraId="350CD8DD" w14:textId="77777777" w:rsidR="00070D19" w:rsidRPr="00A33A28" w:rsidRDefault="00070D19" w:rsidP="00070D19">
      <w:pPr>
        <w:spacing w:after="0" w:line="240" w:lineRule="auto"/>
        <w:ind w:firstLine="708"/>
        <w:jc w:val="both"/>
        <w:rPr>
          <w:rFonts w:ascii="Times New Roman" w:hAnsi="Times New Roman" w:cs="Times New Roman"/>
          <w:sz w:val="24"/>
          <w:szCs w:val="24"/>
        </w:rPr>
      </w:pPr>
      <w:r w:rsidRPr="00A33A28">
        <w:rPr>
          <w:rFonts w:ascii="Times New Roman" w:hAnsi="Times New Roman" w:cs="Times New Roman"/>
          <w:sz w:val="24"/>
          <w:szCs w:val="24"/>
        </w:rPr>
        <w:t xml:space="preserve">Nielen občania Slovenska odchádzajú za prácou do zahraničia, ale aj občania tretích krajín mimo EÚ prichádzajú na Slovensko za prácou (pozri graf 1.3.3). Nedostatok kvalifikovanej pracovnej sily na domácom trhu teda riešia zamestnávatelia zamestnávaním cudzincov. Od mája 2017 sa zmenili podmienky pre zamestnávanie občanov z tretích krajín na území Slovenska. Cudzinci môžu získať sezónne zamestnanie aj bez udelenia prechodného pobytu. Vyplýva to z vládnej novely zákona č. 404/2011 Z. z. o pobyte cudzincov, ktorá </w:t>
      </w:r>
      <w:r w:rsidRPr="00A33A28">
        <w:rPr>
          <w:rFonts w:ascii="Times New Roman" w:hAnsi="Times New Roman" w:cs="Times New Roman"/>
          <w:sz w:val="24"/>
          <w:szCs w:val="24"/>
        </w:rPr>
        <w:lastRenderedPageBreak/>
        <w:t>upravuje príchod, pobyt a zamestnávanie niektorých skupín zamestnancov mimo EÚ na Slovensku, teda sezónnych pracovníkov a pracovníkov v rámci vnútropodnikových presunov.</w:t>
      </w:r>
    </w:p>
    <w:p w14:paraId="48E86BDA" w14:textId="77777777" w:rsidR="00070D19" w:rsidRPr="00A33A28" w:rsidRDefault="00070D19" w:rsidP="00070D19">
      <w:pPr>
        <w:spacing w:after="0" w:line="240" w:lineRule="auto"/>
        <w:jc w:val="both"/>
        <w:rPr>
          <w:rFonts w:ascii="Times New Roman" w:hAnsi="Times New Roman" w:cs="Times New Roman"/>
          <w:b/>
          <w:sz w:val="24"/>
          <w:szCs w:val="24"/>
        </w:rPr>
      </w:pPr>
    </w:p>
    <w:p w14:paraId="177E74AC" w14:textId="77777777" w:rsidR="00070D19" w:rsidRPr="00A33A28" w:rsidRDefault="00070D19" w:rsidP="00070D19">
      <w:pPr>
        <w:spacing w:after="0" w:line="240" w:lineRule="auto"/>
        <w:jc w:val="both"/>
        <w:rPr>
          <w:rFonts w:ascii="Times New Roman" w:hAnsi="Times New Roman" w:cs="Times New Roman"/>
          <w:b/>
          <w:sz w:val="24"/>
          <w:szCs w:val="24"/>
        </w:rPr>
      </w:pPr>
      <w:r w:rsidRPr="00A33A28">
        <w:rPr>
          <w:rFonts w:ascii="Times New Roman" w:hAnsi="Times New Roman" w:cs="Times New Roman"/>
          <w:b/>
          <w:sz w:val="24"/>
          <w:szCs w:val="24"/>
        </w:rPr>
        <w:t>Graf 1.3.3 Vývoj zamestnanosti cudzincov z tretích krajín na území SR</w:t>
      </w:r>
    </w:p>
    <w:p w14:paraId="694EA23B" w14:textId="77777777" w:rsidR="00070D19" w:rsidRPr="00A33A28" w:rsidRDefault="00070D19" w:rsidP="00070D19">
      <w:pPr>
        <w:spacing w:after="0" w:line="240" w:lineRule="auto"/>
        <w:jc w:val="both"/>
        <w:rPr>
          <w:rFonts w:ascii="Times New Roman" w:hAnsi="Times New Roman" w:cs="Times New Roman"/>
          <w:sz w:val="24"/>
          <w:szCs w:val="24"/>
        </w:rPr>
      </w:pPr>
    </w:p>
    <w:p w14:paraId="08B290AC" w14:textId="77777777" w:rsidR="00070D19" w:rsidRPr="00A33A28" w:rsidRDefault="00070D19" w:rsidP="00070D19">
      <w:pPr>
        <w:spacing w:after="0" w:line="240" w:lineRule="auto"/>
        <w:jc w:val="both"/>
        <w:rPr>
          <w:rFonts w:ascii="Times New Roman" w:hAnsi="Times New Roman" w:cs="Times New Roman"/>
          <w:sz w:val="24"/>
          <w:szCs w:val="24"/>
        </w:rPr>
      </w:pPr>
      <w:r w:rsidRPr="00A33A28">
        <w:rPr>
          <w:rFonts w:ascii="Times New Roman" w:hAnsi="Times New Roman" w:cs="Times New Roman"/>
          <w:noProof/>
          <w:sz w:val="24"/>
          <w:szCs w:val="24"/>
          <w:lang w:eastAsia="sk-SK"/>
        </w:rPr>
        <w:drawing>
          <wp:inline distT="0" distB="0" distL="0" distR="0" wp14:anchorId="10EC29A0" wp14:editId="4F059CB7">
            <wp:extent cx="5924550" cy="1390650"/>
            <wp:effectExtent l="0" t="0" r="0" b="0"/>
            <wp:docPr id="6" name="Graf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4564C4CA" w14:textId="77777777" w:rsidR="00070D19" w:rsidRPr="00A33A28" w:rsidRDefault="00070D19" w:rsidP="00070D19">
      <w:pPr>
        <w:spacing w:after="0" w:line="240" w:lineRule="auto"/>
        <w:jc w:val="both"/>
        <w:rPr>
          <w:rFonts w:ascii="Times New Roman" w:hAnsi="Times New Roman" w:cs="Times New Roman"/>
          <w:sz w:val="16"/>
          <w:szCs w:val="16"/>
        </w:rPr>
      </w:pPr>
      <w:r w:rsidRPr="00A33A28">
        <w:rPr>
          <w:rFonts w:ascii="Times New Roman" w:hAnsi="Times New Roman" w:cs="Times New Roman"/>
          <w:sz w:val="16"/>
          <w:szCs w:val="16"/>
        </w:rPr>
        <w:t>Zdroj: Úrad práce, sociálnych vecí a rodiny SR</w:t>
      </w:r>
    </w:p>
    <w:p w14:paraId="45DE5CF6" w14:textId="77777777" w:rsidR="00070D19" w:rsidRPr="00A33A28" w:rsidRDefault="00070D19" w:rsidP="00070D19">
      <w:pPr>
        <w:spacing w:after="0" w:line="240" w:lineRule="auto"/>
        <w:jc w:val="both"/>
        <w:rPr>
          <w:rFonts w:ascii="Times New Roman" w:hAnsi="Times New Roman" w:cs="Times New Roman"/>
          <w:sz w:val="24"/>
          <w:szCs w:val="24"/>
        </w:rPr>
      </w:pPr>
    </w:p>
    <w:p w14:paraId="7EA13290" w14:textId="77777777" w:rsidR="00070D19" w:rsidRPr="00A33A28" w:rsidRDefault="00070D19" w:rsidP="00070D19">
      <w:pPr>
        <w:spacing w:after="0" w:line="240" w:lineRule="auto"/>
        <w:jc w:val="both"/>
        <w:rPr>
          <w:rFonts w:ascii="Times New Roman" w:hAnsi="Times New Roman" w:cs="Times New Roman"/>
          <w:i/>
          <w:sz w:val="24"/>
          <w:szCs w:val="24"/>
        </w:rPr>
      </w:pPr>
      <w:r w:rsidRPr="00A33A28">
        <w:rPr>
          <w:rFonts w:ascii="Times New Roman" w:hAnsi="Times New Roman" w:cs="Times New Roman"/>
          <w:i/>
          <w:sz w:val="24"/>
          <w:szCs w:val="24"/>
        </w:rPr>
        <w:t>Cena práce</w:t>
      </w:r>
    </w:p>
    <w:p w14:paraId="091DBF6B" w14:textId="77777777" w:rsidR="00070D19" w:rsidRPr="00A33A28" w:rsidRDefault="00070D19" w:rsidP="00070D19">
      <w:pPr>
        <w:spacing w:after="0" w:line="240" w:lineRule="auto"/>
        <w:ind w:firstLine="708"/>
        <w:jc w:val="both"/>
        <w:rPr>
          <w:rFonts w:ascii="Times New Roman" w:hAnsi="Times New Roman" w:cs="Times New Roman"/>
          <w:sz w:val="24"/>
          <w:szCs w:val="24"/>
        </w:rPr>
      </w:pPr>
      <w:r w:rsidRPr="00A33A28">
        <w:rPr>
          <w:rFonts w:ascii="Times New Roman" w:hAnsi="Times New Roman" w:cs="Times New Roman"/>
          <w:sz w:val="24"/>
          <w:szCs w:val="24"/>
        </w:rPr>
        <w:t xml:space="preserve">Minimálna mzda pre rok 2018 predstavuje 480 eur (zvýšenie o 10,34 % zo 435 eur v roku 2017). Pre jednu odpracovanú hodinu je to 2,759 eur (minimálna hodinová mzda v roku 2017 bola 2,50 eur). </w:t>
      </w:r>
    </w:p>
    <w:p w14:paraId="55451E26" w14:textId="77777777" w:rsidR="00070D19" w:rsidRPr="00A33A28" w:rsidRDefault="00070D19" w:rsidP="00070D19">
      <w:pPr>
        <w:spacing w:after="0" w:line="240" w:lineRule="auto"/>
        <w:ind w:firstLine="708"/>
        <w:jc w:val="both"/>
        <w:rPr>
          <w:rFonts w:ascii="Times New Roman" w:hAnsi="Times New Roman" w:cs="Times New Roman"/>
          <w:sz w:val="24"/>
          <w:szCs w:val="24"/>
        </w:rPr>
      </w:pPr>
      <w:r w:rsidRPr="00A33A28">
        <w:rPr>
          <w:rFonts w:ascii="Times New Roman" w:hAnsi="Times New Roman" w:cs="Times New Roman"/>
          <w:sz w:val="24"/>
          <w:szCs w:val="24"/>
        </w:rPr>
        <w:t>Za obdobie rokov 2008 až 2017 sa hodnota priemernej mzdy zvýšila o 201,97 eur a minimálnej mzdy o 166,83 eur (pozri graf 1.3.4), pričom v roku 2017 išlo o najväčšie zvýšenie minimálnej mzdy v histórii Slovenska.</w:t>
      </w:r>
    </w:p>
    <w:p w14:paraId="57A26D12" w14:textId="77777777" w:rsidR="00070D19" w:rsidRPr="00A33A28" w:rsidRDefault="00070D19" w:rsidP="00070D19">
      <w:pPr>
        <w:spacing w:after="0" w:line="240" w:lineRule="auto"/>
        <w:jc w:val="both"/>
        <w:rPr>
          <w:rFonts w:ascii="Times New Roman" w:hAnsi="Times New Roman" w:cs="Times New Roman"/>
          <w:sz w:val="24"/>
          <w:szCs w:val="24"/>
        </w:rPr>
      </w:pPr>
    </w:p>
    <w:p w14:paraId="0D3F4081" w14:textId="77777777" w:rsidR="00070D19" w:rsidRPr="00A33A28" w:rsidRDefault="00070D19" w:rsidP="00070D19">
      <w:pPr>
        <w:spacing w:after="0" w:line="240" w:lineRule="auto"/>
        <w:jc w:val="both"/>
        <w:rPr>
          <w:rFonts w:ascii="Times New Roman" w:hAnsi="Times New Roman" w:cs="Times New Roman"/>
          <w:b/>
          <w:sz w:val="24"/>
          <w:szCs w:val="24"/>
        </w:rPr>
      </w:pPr>
      <w:r w:rsidRPr="00A33A28">
        <w:rPr>
          <w:rFonts w:ascii="Times New Roman" w:hAnsi="Times New Roman" w:cs="Times New Roman"/>
          <w:b/>
          <w:sz w:val="24"/>
          <w:szCs w:val="24"/>
        </w:rPr>
        <w:t>Graf 1.3.4 Vývoj minimálnej mzdy a priemernej mzdy (v eur)</w:t>
      </w:r>
    </w:p>
    <w:p w14:paraId="4E9A5D18" w14:textId="77777777" w:rsidR="00070D19" w:rsidRPr="00A33A28" w:rsidRDefault="00070D19" w:rsidP="00070D19">
      <w:pPr>
        <w:spacing w:after="0" w:line="240" w:lineRule="auto"/>
        <w:rPr>
          <w:rFonts w:ascii="Times New Roman" w:hAnsi="Times New Roman" w:cs="Times New Roman"/>
          <w:sz w:val="24"/>
          <w:szCs w:val="24"/>
        </w:rPr>
      </w:pPr>
      <w:r w:rsidRPr="00A33A28">
        <w:rPr>
          <w:rFonts w:ascii="Times New Roman" w:hAnsi="Times New Roman" w:cs="Times New Roman"/>
          <w:noProof/>
          <w:sz w:val="24"/>
          <w:szCs w:val="24"/>
          <w:lang w:eastAsia="sk-SK"/>
        </w:rPr>
        <w:drawing>
          <wp:inline distT="0" distB="0" distL="0" distR="0" wp14:anchorId="2559FE29" wp14:editId="08783108">
            <wp:extent cx="5858539" cy="2905125"/>
            <wp:effectExtent l="0" t="0" r="8890" b="0"/>
            <wp:docPr id="7" name="Graf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12F23F75" w14:textId="77777777" w:rsidR="00070D19" w:rsidRPr="00A33A28" w:rsidRDefault="00070D19" w:rsidP="00070D19">
      <w:pPr>
        <w:spacing w:after="0" w:line="240" w:lineRule="auto"/>
        <w:rPr>
          <w:rFonts w:ascii="Times New Roman" w:hAnsi="Times New Roman" w:cs="Times New Roman"/>
          <w:sz w:val="16"/>
          <w:szCs w:val="16"/>
        </w:rPr>
      </w:pPr>
      <w:r w:rsidRPr="00A33A28">
        <w:rPr>
          <w:rFonts w:ascii="Times New Roman" w:hAnsi="Times New Roman" w:cs="Times New Roman"/>
          <w:sz w:val="16"/>
          <w:szCs w:val="16"/>
        </w:rPr>
        <w:t xml:space="preserve">Zdroj: </w:t>
      </w:r>
      <w:proofErr w:type="spellStart"/>
      <w:r w:rsidRPr="00A33A28">
        <w:rPr>
          <w:rFonts w:ascii="Times New Roman" w:hAnsi="Times New Roman" w:cs="Times New Roman"/>
          <w:sz w:val="16"/>
          <w:szCs w:val="16"/>
        </w:rPr>
        <w:t>Eurostat</w:t>
      </w:r>
      <w:proofErr w:type="spellEnd"/>
      <w:r w:rsidRPr="00A33A28">
        <w:rPr>
          <w:rStyle w:val="Odkaznapoznmkupodiarou"/>
          <w:sz w:val="16"/>
          <w:szCs w:val="16"/>
        </w:rPr>
        <w:footnoteReference w:id="3"/>
      </w:r>
      <w:r w:rsidRPr="00A33A28">
        <w:rPr>
          <w:rFonts w:ascii="Times New Roman" w:hAnsi="Times New Roman" w:cs="Times New Roman"/>
          <w:sz w:val="16"/>
          <w:szCs w:val="16"/>
        </w:rPr>
        <w:t xml:space="preserve"> , Štatistický úrad</w:t>
      </w:r>
      <w:r w:rsidRPr="00A33A28">
        <w:rPr>
          <w:rStyle w:val="Odkaznapoznmkupodiarou"/>
          <w:sz w:val="16"/>
          <w:szCs w:val="16"/>
        </w:rPr>
        <w:footnoteReference w:id="4"/>
      </w:r>
    </w:p>
    <w:p w14:paraId="727927E5" w14:textId="77777777" w:rsidR="00070D19" w:rsidRPr="00A33A28" w:rsidRDefault="00070D19" w:rsidP="00070D19">
      <w:pPr>
        <w:spacing w:after="0" w:line="240" w:lineRule="auto"/>
        <w:rPr>
          <w:rFonts w:ascii="Times New Roman" w:hAnsi="Times New Roman" w:cs="Times New Roman"/>
          <w:sz w:val="24"/>
          <w:szCs w:val="24"/>
        </w:rPr>
      </w:pPr>
      <w:r w:rsidRPr="00A33A28">
        <w:rPr>
          <w:rFonts w:ascii="Times New Roman" w:hAnsi="Times New Roman" w:cs="Times New Roman"/>
          <w:sz w:val="24"/>
          <w:szCs w:val="24"/>
        </w:rPr>
        <w:tab/>
      </w:r>
    </w:p>
    <w:p w14:paraId="2CFC6578" w14:textId="77777777" w:rsidR="00070D19" w:rsidRPr="00A33A28" w:rsidRDefault="00070D19" w:rsidP="00070D19">
      <w:pPr>
        <w:spacing w:after="0" w:line="240" w:lineRule="auto"/>
        <w:jc w:val="both"/>
        <w:rPr>
          <w:rFonts w:ascii="Times New Roman" w:hAnsi="Times New Roman" w:cs="Times New Roman"/>
          <w:sz w:val="16"/>
          <w:szCs w:val="16"/>
        </w:rPr>
      </w:pPr>
      <w:r w:rsidRPr="00A33A28">
        <w:rPr>
          <w:rFonts w:ascii="Times New Roman" w:hAnsi="Times New Roman" w:cs="Times New Roman"/>
          <w:sz w:val="24"/>
          <w:szCs w:val="24"/>
        </w:rPr>
        <w:t xml:space="preserve">Vývoj na grafe 1.3.5 potvrdzuje rastúci vývoj minimálnej mzdy vo vzťahu k priemernej mzde. Hodnota pomeru priemernej mzdy k minimálnej sa zvýšila z 37,07 % (2008) na 47,02 % (2017). Zvyšovanie tohto pomeru vo všeobecnosti môže mať vplyv na záujem potenciálnych zamestnancov o prijatie pracovného miesta, ktoré je ohodnotené na úrovni minimálnej mzdy. Na druhej strane, zvyšovanie minimálnej mzdy so sebou prináša zvyšovanie nákladov </w:t>
      </w:r>
      <w:r w:rsidRPr="00A33A28">
        <w:rPr>
          <w:rFonts w:ascii="Times New Roman" w:hAnsi="Times New Roman" w:cs="Times New Roman"/>
          <w:sz w:val="24"/>
          <w:szCs w:val="24"/>
        </w:rPr>
        <w:br/>
        <w:t>pre zamestnávateľov.</w:t>
      </w:r>
    </w:p>
    <w:p w14:paraId="69CD6802" w14:textId="77777777" w:rsidR="00070D19" w:rsidRPr="00A33A28" w:rsidRDefault="00070D19" w:rsidP="00070D19">
      <w:pPr>
        <w:spacing w:after="0" w:line="240" w:lineRule="auto"/>
        <w:jc w:val="both"/>
        <w:rPr>
          <w:rFonts w:ascii="Times New Roman" w:hAnsi="Times New Roman" w:cs="Times New Roman"/>
          <w:b/>
          <w:sz w:val="24"/>
          <w:szCs w:val="24"/>
        </w:rPr>
      </w:pPr>
    </w:p>
    <w:p w14:paraId="081C1682" w14:textId="77777777" w:rsidR="00070D19" w:rsidRPr="00A33A28" w:rsidRDefault="00070D19" w:rsidP="00070D19">
      <w:pPr>
        <w:spacing w:after="0" w:line="240" w:lineRule="auto"/>
        <w:jc w:val="both"/>
        <w:rPr>
          <w:rFonts w:ascii="Times New Roman" w:hAnsi="Times New Roman" w:cs="Times New Roman"/>
          <w:b/>
          <w:sz w:val="24"/>
          <w:szCs w:val="24"/>
        </w:rPr>
      </w:pPr>
      <w:r w:rsidRPr="00A33A28">
        <w:rPr>
          <w:rFonts w:ascii="Times New Roman" w:hAnsi="Times New Roman" w:cs="Times New Roman"/>
          <w:b/>
          <w:sz w:val="24"/>
          <w:szCs w:val="24"/>
        </w:rPr>
        <w:lastRenderedPageBreak/>
        <w:t>Graf 1.3.5 Pomer minimálnej mzdy a priemernej mzdy</w:t>
      </w:r>
    </w:p>
    <w:p w14:paraId="38981D6B" w14:textId="77777777" w:rsidR="00070D19" w:rsidRPr="00A33A28" w:rsidRDefault="00070D19" w:rsidP="00070D19">
      <w:pPr>
        <w:spacing w:after="0" w:line="240" w:lineRule="auto"/>
        <w:jc w:val="both"/>
        <w:rPr>
          <w:rFonts w:ascii="Times New Roman" w:hAnsi="Times New Roman" w:cs="Times New Roman"/>
          <w:b/>
          <w:sz w:val="16"/>
          <w:szCs w:val="16"/>
        </w:rPr>
      </w:pPr>
    </w:p>
    <w:p w14:paraId="3EAD6172" w14:textId="77777777" w:rsidR="00070D19" w:rsidRPr="00A33A28" w:rsidRDefault="00070D19" w:rsidP="00070D19">
      <w:pPr>
        <w:spacing w:after="0" w:line="240" w:lineRule="auto"/>
        <w:jc w:val="both"/>
        <w:rPr>
          <w:rFonts w:ascii="Times New Roman" w:hAnsi="Times New Roman" w:cs="Times New Roman"/>
          <w:sz w:val="24"/>
          <w:szCs w:val="24"/>
        </w:rPr>
      </w:pPr>
      <w:r w:rsidRPr="00A33A28">
        <w:rPr>
          <w:rFonts w:ascii="Times New Roman" w:hAnsi="Times New Roman" w:cs="Times New Roman"/>
          <w:noProof/>
          <w:sz w:val="24"/>
          <w:szCs w:val="24"/>
          <w:lang w:eastAsia="sk-SK"/>
        </w:rPr>
        <w:drawing>
          <wp:inline distT="0" distB="0" distL="0" distR="0" wp14:anchorId="05FDB3FC" wp14:editId="70EE873C">
            <wp:extent cx="5727700" cy="1600200"/>
            <wp:effectExtent l="0" t="0" r="6350" b="0"/>
            <wp:docPr id="31" name="Graf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1C802882" w14:textId="77777777" w:rsidR="00070D19" w:rsidRPr="00A33A28" w:rsidRDefault="00070D19" w:rsidP="00070D19">
      <w:pPr>
        <w:spacing w:after="0" w:line="240" w:lineRule="auto"/>
        <w:jc w:val="both"/>
        <w:rPr>
          <w:rFonts w:ascii="Times New Roman" w:hAnsi="Times New Roman" w:cs="Times New Roman"/>
          <w:sz w:val="16"/>
          <w:szCs w:val="16"/>
        </w:rPr>
      </w:pPr>
      <w:r w:rsidRPr="00A33A28">
        <w:rPr>
          <w:rFonts w:ascii="Times New Roman" w:hAnsi="Times New Roman" w:cs="Times New Roman"/>
          <w:sz w:val="16"/>
          <w:szCs w:val="16"/>
        </w:rPr>
        <w:t xml:space="preserve">Zdroj: </w:t>
      </w:r>
      <w:proofErr w:type="spellStart"/>
      <w:r w:rsidRPr="00A33A28">
        <w:rPr>
          <w:rFonts w:ascii="Times New Roman" w:hAnsi="Times New Roman" w:cs="Times New Roman"/>
          <w:sz w:val="16"/>
          <w:szCs w:val="16"/>
        </w:rPr>
        <w:t>Eurostat</w:t>
      </w:r>
      <w:proofErr w:type="spellEnd"/>
      <w:r w:rsidRPr="00A33A28">
        <w:rPr>
          <w:rFonts w:ascii="Times New Roman" w:hAnsi="Times New Roman" w:cs="Times New Roman"/>
          <w:sz w:val="16"/>
          <w:szCs w:val="16"/>
        </w:rPr>
        <w:t>, Štatistický úrad, prepočet MHSR</w:t>
      </w:r>
    </w:p>
    <w:p w14:paraId="7B9ED1C0" w14:textId="77777777" w:rsidR="00070D19" w:rsidRPr="00A33A28" w:rsidRDefault="00070D19" w:rsidP="00070D19">
      <w:pPr>
        <w:spacing w:after="0" w:line="240" w:lineRule="auto"/>
        <w:jc w:val="both"/>
        <w:rPr>
          <w:rFonts w:ascii="Times New Roman" w:hAnsi="Times New Roman" w:cs="Times New Roman"/>
          <w:sz w:val="16"/>
          <w:szCs w:val="16"/>
        </w:rPr>
      </w:pPr>
    </w:p>
    <w:p w14:paraId="16E19A61" w14:textId="77777777" w:rsidR="00070D19" w:rsidRPr="00A33A28" w:rsidRDefault="00070D19" w:rsidP="00070D19">
      <w:pPr>
        <w:spacing w:after="0" w:line="240" w:lineRule="auto"/>
        <w:jc w:val="both"/>
        <w:rPr>
          <w:rFonts w:ascii="Times New Roman" w:hAnsi="Times New Roman" w:cs="Times New Roman"/>
          <w:i/>
          <w:sz w:val="24"/>
          <w:szCs w:val="24"/>
        </w:rPr>
      </w:pPr>
      <w:r w:rsidRPr="00A33A28">
        <w:rPr>
          <w:rFonts w:ascii="Times New Roman" w:hAnsi="Times New Roman" w:cs="Times New Roman"/>
          <w:i/>
          <w:sz w:val="24"/>
          <w:szCs w:val="24"/>
        </w:rPr>
        <w:t>Vývoj absolventov a ich kvalifikácia na trhu práce</w:t>
      </w:r>
    </w:p>
    <w:p w14:paraId="67EC36CE" w14:textId="77777777" w:rsidR="00070D19" w:rsidRPr="00A33A28" w:rsidRDefault="00070D19" w:rsidP="00070D19">
      <w:pPr>
        <w:spacing w:after="0" w:line="240" w:lineRule="auto"/>
        <w:jc w:val="both"/>
        <w:rPr>
          <w:rFonts w:ascii="Times New Roman" w:hAnsi="Times New Roman" w:cs="Times New Roman"/>
          <w:sz w:val="24"/>
          <w:szCs w:val="24"/>
        </w:rPr>
      </w:pPr>
      <w:r w:rsidRPr="00A33A28">
        <w:rPr>
          <w:rFonts w:ascii="Times New Roman" w:hAnsi="Times New Roman" w:cs="Times New Roman"/>
          <w:sz w:val="24"/>
          <w:szCs w:val="24"/>
        </w:rPr>
        <w:t xml:space="preserve">Nasledujúce grafy predstavujú zloženie absolventov stredoškolského a vysokoškolského vzdelávania, ktorí vstupujú v rámci svojej získanej kvalifikácie na trh práce. </w:t>
      </w:r>
    </w:p>
    <w:p w14:paraId="6BFF662F" w14:textId="77777777" w:rsidR="00070D19" w:rsidRPr="00A33A28" w:rsidRDefault="00070D19" w:rsidP="00070D19">
      <w:pPr>
        <w:spacing w:after="0" w:line="240" w:lineRule="auto"/>
        <w:jc w:val="both"/>
        <w:rPr>
          <w:rFonts w:ascii="Times New Roman" w:hAnsi="Times New Roman" w:cs="Times New Roman"/>
          <w:b/>
          <w:sz w:val="24"/>
          <w:szCs w:val="24"/>
        </w:rPr>
      </w:pPr>
    </w:p>
    <w:p w14:paraId="400001C0" w14:textId="77777777" w:rsidR="00070D19" w:rsidRPr="00A33A28" w:rsidRDefault="00070D19" w:rsidP="00070D19">
      <w:pPr>
        <w:spacing w:after="0" w:line="240" w:lineRule="auto"/>
        <w:jc w:val="both"/>
        <w:rPr>
          <w:rFonts w:ascii="Times New Roman" w:hAnsi="Times New Roman" w:cs="Times New Roman"/>
          <w:sz w:val="24"/>
          <w:szCs w:val="24"/>
        </w:rPr>
      </w:pPr>
      <w:r w:rsidRPr="00A33A28">
        <w:rPr>
          <w:rFonts w:ascii="Times New Roman" w:hAnsi="Times New Roman" w:cs="Times New Roman"/>
          <w:sz w:val="24"/>
          <w:szCs w:val="24"/>
        </w:rPr>
        <w:t>Keďže demografická krivka Slovenska každoročne klesá, priamo úmerne klesá aj počet absolventov škôl. Uchádzači o stredoškolské štúdium majú na výber z niekoľkých typov stredných škôl a foriem štúdia. Väčšina uchádzačov sa rozhoduje medzi gymnáziami a strednými odbornými školami, pričom je preferovaná denná forma štúdia. Na grafe 1.3.6 je možné pozorovať celkový počet absolventov stredoškolského vzdelávania. Od roku 2008 je vidieť klesajúci trend absolventov, pričom najväčší úbytok zaznamenávajú stredné odborné školy. Novinkou, ktorá by mala prilákať študentov na stredné odborné školy a tak reagovať na dopyt trhu práce je zavedenie systému duálneho vzdelávania. Systém duálneho vzdelávania (ďalej len „SDV“) bol zavedený zákonom č. 61/2015 Z. z. o odbornom vzdelávaní a príprave a o zmene a doplnení ktorých zákonov, ktorý nadobudol účinnosť 1. apríla 2015. SDV bol prvýkrát v školskom roku 2015/2016, pričom v prvom roku bolo ponúknutých viac ako 1 500 učebných miest. Skutočne prijatých bolo 422 žiakov. V rámci roku 2016 bola ponuka zo strany zamestnávateľov viac ako 2 700 učebných miest pre školský rok 2016/2017, kde však ich pripravenosť s celkovou certifikovanou kapacitou bola pre 6 145 žiakov.</w:t>
      </w:r>
    </w:p>
    <w:p w14:paraId="5B4FF326" w14:textId="77777777" w:rsidR="00070D19" w:rsidRPr="00A33A28" w:rsidRDefault="00070D19" w:rsidP="00070D19">
      <w:pPr>
        <w:spacing w:after="0" w:line="240" w:lineRule="auto"/>
        <w:jc w:val="both"/>
        <w:rPr>
          <w:rFonts w:ascii="Times New Roman" w:hAnsi="Times New Roman" w:cs="Times New Roman"/>
          <w:b/>
          <w:sz w:val="24"/>
          <w:szCs w:val="24"/>
        </w:rPr>
      </w:pPr>
    </w:p>
    <w:p w14:paraId="252FCED3" w14:textId="77777777" w:rsidR="00070D19" w:rsidRPr="00A33A28" w:rsidRDefault="00070D19" w:rsidP="00070D19">
      <w:pPr>
        <w:spacing w:after="0" w:line="240" w:lineRule="auto"/>
        <w:rPr>
          <w:rFonts w:ascii="Times New Roman" w:hAnsi="Times New Roman" w:cs="Times New Roman"/>
          <w:b/>
          <w:sz w:val="24"/>
          <w:szCs w:val="24"/>
        </w:rPr>
      </w:pPr>
      <w:r w:rsidRPr="00A33A28">
        <w:rPr>
          <w:rFonts w:ascii="Times New Roman" w:hAnsi="Times New Roman" w:cs="Times New Roman"/>
          <w:b/>
          <w:sz w:val="24"/>
          <w:szCs w:val="24"/>
        </w:rPr>
        <w:t>Graf 1.3.6 Vývoj počtu absolventov stredoškolského vzdelávania</w:t>
      </w:r>
    </w:p>
    <w:p w14:paraId="361E3C36" w14:textId="77777777" w:rsidR="00070D19" w:rsidRPr="00A33A28" w:rsidRDefault="00070D19" w:rsidP="00070D19">
      <w:pPr>
        <w:spacing w:after="0" w:line="240" w:lineRule="auto"/>
        <w:rPr>
          <w:rFonts w:ascii="Times New Roman" w:hAnsi="Times New Roman" w:cs="Times New Roman"/>
          <w:sz w:val="24"/>
          <w:szCs w:val="24"/>
        </w:rPr>
      </w:pPr>
      <w:r w:rsidRPr="00A33A28">
        <w:rPr>
          <w:rFonts w:ascii="Times New Roman" w:hAnsi="Times New Roman" w:cs="Times New Roman"/>
          <w:noProof/>
          <w:sz w:val="24"/>
          <w:szCs w:val="24"/>
          <w:lang w:eastAsia="sk-SK"/>
        </w:rPr>
        <w:drawing>
          <wp:inline distT="0" distB="0" distL="0" distR="0" wp14:anchorId="09C70DF3" wp14:editId="346ECE36">
            <wp:extent cx="5924550" cy="2038350"/>
            <wp:effectExtent l="0" t="0" r="0" b="0"/>
            <wp:docPr id="15" name="Graf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40F8A900" w14:textId="77777777" w:rsidR="00070D19" w:rsidRPr="00A33A28" w:rsidRDefault="00070D19" w:rsidP="00070D19">
      <w:pPr>
        <w:spacing w:after="0" w:line="240" w:lineRule="auto"/>
        <w:jc w:val="both"/>
        <w:rPr>
          <w:rFonts w:ascii="Times New Roman" w:hAnsi="Times New Roman" w:cs="Times New Roman"/>
          <w:sz w:val="16"/>
          <w:szCs w:val="16"/>
        </w:rPr>
      </w:pPr>
      <w:r w:rsidRPr="00A33A28">
        <w:rPr>
          <w:rFonts w:ascii="Times New Roman" w:hAnsi="Times New Roman" w:cs="Times New Roman"/>
          <w:sz w:val="16"/>
          <w:szCs w:val="16"/>
        </w:rPr>
        <w:t>Zdroj: Štatistický úrad</w:t>
      </w:r>
      <w:r w:rsidRPr="00A33A28">
        <w:rPr>
          <w:rStyle w:val="Odkaznapoznmkupodiarou"/>
          <w:sz w:val="16"/>
          <w:szCs w:val="16"/>
        </w:rPr>
        <w:footnoteReference w:id="5"/>
      </w:r>
    </w:p>
    <w:p w14:paraId="1E78467C" w14:textId="77777777" w:rsidR="00070D19" w:rsidRPr="00A33A28" w:rsidRDefault="00070D19" w:rsidP="00070D19">
      <w:pPr>
        <w:spacing w:after="0" w:line="240" w:lineRule="auto"/>
        <w:jc w:val="both"/>
        <w:rPr>
          <w:rFonts w:ascii="Times New Roman" w:hAnsi="Times New Roman" w:cs="Times New Roman"/>
          <w:sz w:val="24"/>
          <w:szCs w:val="24"/>
        </w:rPr>
      </w:pPr>
    </w:p>
    <w:p w14:paraId="0734C297" w14:textId="77777777" w:rsidR="00070D19" w:rsidRPr="00A33A28" w:rsidRDefault="00070D19" w:rsidP="00070D19">
      <w:pPr>
        <w:spacing w:after="0" w:line="240" w:lineRule="auto"/>
        <w:jc w:val="both"/>
        <w:rPr>
          <w:rFonts w:ascii="Times New Roman" w:hAnsi="Times New Roman" w:cs="Times New Roman"/>
          <w:sz w:val="24"/>
          <w:szCs w:val="24"/>
        </w:rPr>
      </w:pPr>
      <w:r w:rsidRPr="00A33A28">
        <w:rPr>
          <w:rFonts w:ascii="Times New Roman" w:hAnsi="Times New Roman" w:cs="Times New Roman"/>
          <w:sz w:val="24"/>
          <w:szCs w:val="24"/>
        </w:rPr>
        <w:t xml:space="preserve">V rámci nezamestnanosti absolventov stredných škôl je možné hovoriť o sezónnych cykloch v období máj – jún nasledujúceho roku a teda medzi ukončením školy a príchodom na trh práce. Nezamestnanosť absolventov stredných škôl v septembri 2016 predstavovala 13,8 tisíc absolventov, pričom nasledujúce mesiace rovnomerne klesla na 8,6 tisíc v apríli 2017. </w:t>
      </w:r>
      <w:r w:rsidRPr="00A33A28">
        <w:rPr>
          <w:rFonts w:ascii="Times New Roman" w:hAnsi="Times New Roman" w:cs="Times New Roman"/>
          <w:sz w:val="24"/>
          <w:szCs w:val="24"/>
        </w:rPr>
        <w:br/>
        <w:t xml:space="preserve">V máji 2017 bolo evidovaných minimum nezamestnaných absolventov stredných škôl – 6,3 tisíc. </w:t>
      </w:r>
    </w:p>
    <w:p w14:paraId="0E19CF89" w14:textId="77777777" w:rsidR="00070D19" w:rsidRPr="00A33A28" w:rsidRDefault="00070D19" w:rsidP="00070D19">
      <w:pPr>
        <w:spacing w:after="0" w:line="240" w:lineRule="auto"/>
        <w:jc w:val="both"/>
        <w:rPr>
          <w:rFonts w:ascii="Times New Roman" w:hAnsi="Times New Roman" w:cs="Times New Roman"/>
          <w:sz w:val="24"/>
          <w:szCs w:val="24"/>
        </w:rPr>
      </w:pPr>
      <w:r w:rsidRPr="00A33A28">
        <w:rPr>
          <w:rFonts w:ascii="Times New Roman" w:hAnsi="Times New Roman" w:cs="Times New Roman"/>
          <w:sz w:val="24"/>
          <w:szCs w:val="24"/>
        </w:rPr>
        <w:lastRenderedPageBreak/>
        <w:t xml:space="preserve">Celková miera nezamestnanosti k 31. 12. 2016 dosiahla úroveň 8,76 %, pričom nezamestnanosť čerstvých absolventov predstavovala 5 %. Ústredie práce, sociálnych vecí a rodiny (ďalej </w:t>
      </w:r>
      <w:r w:rsidRPr="00A33A28">
        <w:rPr>
          <w:rFonts w:ascii="Times New Roman" w:hAnsi="Times New Roman" w:cs="Times New Roman"/>
          <w:sz w:val="24"/>
          <w:szCs w:val="24"/>
        </w:rPr>
        <w:br/>
        <w:t xml:space="preserve">len „ÚPSVaR“) k 31. 12. 2016  evidovalo spolu 4 102 uchádzačov o zamestnanie z radov absolventov vysokých škôl (VŠ). Z hľadiska krajov SR bol najvyšší počet evidovaných nezamestnaných za predchádzajúci rok zaznamenaný v Prešovskom kraji. Išlo celkovo o 990 absolventov VŠ hľadajúcich zamestnanie, pričom z hľadiska celkového počtu absolventov </w:t>
      </w:r>
      <w:r w:rsidRPr="00A33A28">
        <w:rPr>
          <w:rFonts w:ascii="Times New Roman" w:hAnsi="Times New Roman" w:cs="Times New Roman"/>
          <w:sz w:val="24"/>
          <w:szCs w:val="24"/>
        </w:rPr>
        <w:br/>
        <w:t>VŠ hľadajúcich si prácu to bola takmer štvrtina (24,13 %) z ich celkového počtu. Počty evidovaných kopírovali reálne počty absolventov v jednotlivých skupinách odborov, pričom najpočetnejšou skupinou boli uchádzači o zamestnanie z radov absolventov spoločenských vied, náuk a služieb (2 519). Naopak, v absolútnych číslach bolo najmenej na úradoch práce evidovaných absolventov vied a náuk o umení (127).</w:t>
      </w:r>
    </w:p>
    <w:p w14:paraId="0F3B627C" w14:textId="77777777" w:rsidR="00070D19" w:rsidRPr="00A33A28" w:rsidRDefault="00070D19" w:rsidP="00070D19">
      <w:pPr>
        <w:spacing w:after="0" w:line="240" w:lineRule="auto"/>
        <w:jc w:val="both"/>
        <w:rPr>
          <w:rFonts w:ascii="Times New Roman" w:hAnsi="Times New Roman" w:cs="Times New Roman"/>
          <w:b/>
          <w:sz w:val="24"/>
          <w:szCs w:val="24"/>
        </w:rPr>
      </w:pPr>
    </w:p>
    <w:p w14:paraId="743DECDC" w14:textId="77777777" w:rsidR="00070D19" w:rsidRPr="00A33A28" w:rsidRDefault="00070D19" w:rsidP="00070D19">
      <w:pPr>
        <w:spacing w:after="0" w:line="240" w:lineRule="auto"/>
        <w:jc w:val="both"/>
        <w:rPr>
          <w:rFonts w:ascii="Times New Roman" w:hAnsi="Times New Roman" w:cs="Times New Roman"/>
          <w:b/>
          <w:sz w:val="24"/>
          <w:szCs w:val="24"/>
        </w:rPr>
      </w:pPr>
      <w:r w:rsidRPr="00A33A28">
        <w:rPr>
          <w:rFonts w:ascii="Times New Roman" w:hAnsi="Times New Roman" w:cs="Times New Roman"/>
          <w:b/>
          <w:sz w:val="24"/>
          <w:szCs w:val="24"/>
        </w:rPr>
        <w:t>Graf 1.3.7 Vývoj počtu absolventov 1. a 2. stupňa vysokoškolského vzdelávania</w:t>
      </w:r>
    </w:p>
    <w:p w14:paraId="06B4AE82" w14:textId="77777777" w:rsidR="00070D19" w:rsidRPr="00A33A28" w:rsidRDefault="00070D19" w:rsidP="00070D19">
      <w:pPr>
        <w:spacing w:after="0" w:line="240" w:lineRule="auto"/>
        <w:jc w:val="both"/>
        <w:rPr>
          <w:rFonts w:ascii="Times New Roman" w:hAnsi="Times New Roman" w:cs="Times New Roman"/>
          <w:b/>
          <w:sz w:val="24"/>
          <w:szCs w:val="24"/>
        </w:rPr>
      </w:pPr>
      <w:r w:rsidRPr="00A33A28">
        <w:rPr>
          <w:rFonts w:ascii="Times New Roman" w:hAnsi="Times New Roman" w:cs="Times New Roman"/>
          <w:b/>
          <w:noProof/>
          <w:sz w:val="24"/>
          <w:szCs w:val="24"/>
          <w:lang w:eastAsia="sk-SK"/>
        </w:rPr>
        <w:drawing>
          <wp:inline distT="0" distB="0" distL="0" distR="0" wp14:anchorId="19E9CA88" wp14:editId="390B7FE0">
            <wp:extent cx="5881420" cy="3200400"/>
            <wp:effectExtent l="0" t="0" r="5080" b="0"/>
            <wp:docPr id="29" name="Graf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5C976AFF" w14:textId="77777777" w:rsidR="00070D19" w:rsidRPr="00A33A28" w:rsidRDefault="00070D19" w:rsidP="00070D19">
      <w:pPr>
        <w:spacing w:after="0" w:line="240" w:lineRule="auto"/>
        <w:jc w:val="both"/>
        <w:rPr>
          <w:rFonts w:ascii="Times New Roman" w:hAnsi="Times New Roman" w:cs="Times New Roman"/>
          <w:sz w:val="16"/>
          <w:szCs w:val="16"/>
        </w:rPr>
      </w:pPr>
      <w:r w:rsidRPr="00A33A28">
        <w:rPr>
          <w:rFonts w:ascii="Times New Roman" w:hAnsi="Times New Roman" w:cs="Times New Roman"/>
          <w:sz w:val="16"/>
          <w:szCs w:val="16"/>
        </w:rPr>
        <w:t>Zdroj: Ministerstvo školstva vedy výskumu a športu SR</w:t>
      </w:r>
    </w:p>
    <w:p w14:paraId="37F09433" w14:textId="77777777" w:rsidR="00070D19" w:rsidRPr="00A33A28" w:rsidRDefault="00070D19" w:rsidP="00070D19">
      <w:pPr>
        <w:spacing w:after="0" w:line="240" w:lineRule="auto"/>
        <w:jc w:val="both"/>
        <w:rPr>
          <w:rFonts w:ascii="Times New Roman" w:hAnsi="Times New Roman" w:cs="Times New Roman"/>
          <w:sz w:val="16"/>
          <w:szCs w:val="16"/>
        </w:rPr>
      </w:pPr>
    </w:p>
    <w:p w14:paraId="23724105" w14:textId="77777777" w:rsidR="00070D19" w:rsidRPr="00A33A28" w:rsidRDefault="00070D19" w:rsidP="00070D19">
      <w:pPr>
        <w:spacing w:after="0" w:line="240" w:lineRule="auto"/>
        <w:jc w:val="both"/>
        <w:rPr>
          <w:rFonts w:ascii="Times New Roman" w:hAnsi="Times New Roman" w:cs="Times New Roman"/>
          <w:sz w:val="24"/>
          <w:szCs w:val="24"/>
        </w:rPr>
      </w:pPr>
      <w:r w:rsidRPr="00A33A28">
        <w:rPr>
          <w:rFonts w:ascii="Times New Roman" w:hAnsi="Times New Roman" w:cs="Times New Roman"/>
          <w:sz w:val="24"/>
          <w:szCs w:val="24"/>
        </w:rPr>
        <w:t xml:space="preserve">Na grafe 1.3.7 je možné pozorovať vývoj počtu absolventov 1. a 2. stupňa vysokoškolského vzdelávania v dennej a externej forme, domácich aj zahraničných študentov za roky </w:t>
      </w:r>
      <w:r w:rsidRPr="00A33A28">
        <w:rPr>
          <w:rFonts w:ascii="Times New Roman" w:hAnsi="Times New Roman" w:cs="Times New Roman"/>
          <w:sz w:val="24"/>
          <w:szCs w:val="24"/>
        </w:rPr>
        <w:br/>
        <w:t xml:space="preserve">2015 – 2016. Z grafu môžeme jasne pozorovať mierne klesajúci počet absolventov, a to vo všetkých oblastiach. </w:t>
      </w:r>
    </w:p>
    <w:p w14:paraId="71352425" w14:textId="77777777" w:rsidR="00070D19" w:rsidRPr="00A33A28" w:rsidRDefault="00070D19" w:rsidP="00070D19">
      <w:pPr>
        <w:spacing w:after="0" w:line="240" w:lineRule="auto"/>
        <w:ind w:firstLine="708"/>
        <w:jc w:val="both"/>
        <w:rPr>
          <w:rFonts w:ascii="Times New Roman" w:hAnsi="Times New Roman" w:cs="Times New Roman"/>
          <w:sz w:val="24"/>
          <w:szCs w:val="24"/>
        </w:rPr>
      </w:pPr>
      <w:r w:rsidRPr="00A33A28">
        <w:rPr>
          <w:rFonts w:ascii="Times New Roman" w:hAnsi="Times New Roman" w:cs="Times New Roman"/>
          <w:sz w:val="24"/>
          <w:szCs w:val="24"/>
        </w:rPr>
        <w:t xml:space="preserve">Z absolventov 2. stupňa vysokoškolského vzdelávania bol najväčší podiel nezamestnaných absolventov v septembri 2016 v spoločenských vedách, náukách a službách </w:t>
      </w:r>
      <w:r w:rsidRPr="00A33A28">
        <w:rPr>
          <w:rFonts w:ascii="Times New Roman" w:hAnsi="Times New Roman" w:cs="Times New Roman"/>
          <w:sz w:val="24"/>
          <w:szCs w:val="24"/>
        </w:rPr>
        <w:br/>
        <w:t>I. a II. (32,91 % a 25,63 %) a technických vedách a náukách I. (12,28 %). Naopak, najnižší podiel na celkovom počte nezamestnaných absolventov zaznamenali v tom istom čase  vedy a náuky o umení 2,53 %, lekárske a farmaceutické vedy a náuky s 3,09 %, vojenské a bezpečnostné vedy a náuky s 4,41 %, poľnohospodársko-lesnícke a veterinárne vedy a náuky s 5,19 %, prírodné vedy s 6,77 % a technické vedy a náuky II. s 7,18 %.</w:t>
      </w:r>
    </w:p>
    <w:p w14:paraId="1EB89CA6" w14:textId="77777777" w:rsidR="00070D19" w:rsidRPr="00A33A28" w:rsidRDefault="00070D19" w:rsidP="00070D19">
      <w:pPr>
        <w:spacing w:after="0" w:line="240" w:lineRule="auto"/>
        <w:ind w:firstLine="708"/>
        <w:jc w:val="both"/>
        <w:rPr>
          <w:rFonts w:ascii="Times New Roman" w:hAnsi="Times New Roman" w:cs="Times New Roman"/>
          <w:sz w:val="24"/>
          <w:szCs w:val="24"/>
        </w:rPr>
      </w:pPr>
    </w:p>
    <w:p w14:paraId="2B5E53DD" w14:textId="77777777" w:rsidR="00070D19" w:rsidRPr="00A33A28" w:rsidRDefault="00070D19" w:rsidP="00070D19">
      <w:pPr>
        <w:pStyle w:val="Odsekzoznamu"/>
        <w:numPr>
          <w:ilvl w:val="1"/>
          <w:numId w:val="11"/>
        </w:numPr>
        <w:tabs>
          <w:tab w:val="left" w:pos="426"/>
        </w:tabs>
        <w:ind w:hanging="1353"/>
        <w:rPr>
          <w:rFonts w:ascii="Times New Roman" w:hAnsi="Times New Roman" w:cs="Times New Roman"/>
          <w:b/>
          <w:sz w:val="24"/>
          <w:szCs w:val="24"/>
        </w:rPr>
      </w:pPr>
      <w:r w:rsidRPr="00A33A28">
        <w:rPr>
          <w:rFonts w:ascii="Times New Roman" w:hAnsi="Times New Roman" w:cs="Times New Roman"/>
          <w:b/>
          <w:sz w:val="24"/>
          <w:szCs w:val="24"/>
        </w:rPr>
        <w:t>Zhodnotenie investičnej pomoci</w:t>
      </w:r>
    </w:p>
    <w:p w14:paraId="5CC40AAB" w14:textId="77777777" w:rsidR="00070D19" w:rsidRPr="00A33A28" w:rsidRDefault="00070D19" w:rsidP="00070D19">
      <w:pPr>
        <w:spacing w:after="0" w:line="240" w:lineRule="auto"/>
        <w:ind w:firstLine="708"/>
        <w:jc w:val="both"/>
        <w:rPr>
          <w:rFonts w:ascii="Times New Roman" w:hAnsi="Times New Roman" w:cs="Times New Roman"/>
          <w:sz w:val="24"/>
          <w:szCs w:val="24"/>
        </w:rPr>
      </w:pPr>
    </w:p>
    <w:p w14:paraId="67DA239A" w14:textId="77777777" w:rsidR="00070D19" w:rsidRPr="00A33A28" w:rsidRDefault="00070D19" w:rsidP="00070D19">
      <w:pPr>
        <w:spacing w:after="0" w:line="240" w:lineRule="auto"/>
        <w:ind w:firstLine="708"/>
        <w:jc w:val="both"/>
        <w:rPr>
          <w:rFonts w:ascii="Times New Roman" w:hAnsi="Times New Roman" w:cs="Times New Roman"/>
          <w:sz w:val="24"/>
          <w:szCs w:val="24"/>
        </w:rPr>
      </w:pPr>
      <w:r w:rsidRPr="00A33A28">
        <w:rPr>
          <w:rFonts w:ascii="Times New Roman" w:hAnsi="Times New Roman" w:cs="Times New Roman"/>
          <w:sz w:val="24"/>
          <w:szCs w:val="24"/>
        </w:rPr>
        <w:t xml:space="preserve">V roku 2017 bola investičná pomoc schválená 15 prijímateľom investičnej pomoci, ktorí spoločne vytvoria 3 056 nových pracovných miest. Celkové investičné náklady dosiahnu spolu 367 mil. eur a sú podporené schválenou investičnou pomocou v hodnote takmer 84 mil. eur. Priemerná výška investičnej pomoci na jedno nové pracovné miesto tak predstavuje sumu  27 469 eur. Na stredné a východné Slovensko smerovalo 77 % investičnej pomoci, kde bolo podporených až 85 % všetkých podporených pracovných miest. Na západnom Slovensku boli podporené iba dva investičné zámery, konkrétne rozšírenie výroby PSA v Trnave s investíciou takmer 100 mil. eur, čo predstavovalo až 27 % všetkých podporených investičných nákladov, </w:t>
      </w:r>
      <w:r w:rsidRPr="00A33A28">
        <w:rPr>
          <w:rFonts w:ascii="Times New Roman" w:hAnsi="Times New Roman" w:cs="Times New Roman"/>
          <w:sz w:val="24"/>
          <w:szCs w:val="24"/>
        </w:rPr>
        <w:lastRenderedPageBreak/>
        <w:t xml:space="preserve">pričom investor získal pomoc vo forme úľavy na dani z príjmu, ktorá predstavovala 22 %           z celkovo poskytnutej pomoci. Druhým podporeným zámerom na západnom Slovensku bolo technologické centrum </w:t>
      </w:r>
      <w:proofErr w:type="spellStart"/>
      <w:r w:rsidRPr="00A33A28">
        <w:rPr>
          <w:rFonts w:ascii="Times New Roman" w:hAnsi="Times New Roman" w:cs="Times New Roman"/>
          <w:sz w:val="24"/>
          <w:szCs w:val="24"/>
        </w:rPr>
        <w:t>Yanfeng</w:t>
      </w:r>
      <w:proofErr w:type="spellEnd"/>
      <w:r w:rsidRPr="00A33A28">
        <w:rPr>
          <w:rFonts w:ascii="Times New Roman" w:hAnsi="Times New Roman" w:cs="Times New Roman"/>
          <w:sz w:val="24"/>
          <w:szCs w:val="24"/>
        </w:rPr>
        <w:t xml:space="preserve"> v Trenčíne. Priama investičná pomoc na západnom Slovensku predstavovala výšku 600 tis. eur a bola schválená technologickému centru v Trenčíne. </w:t>
      </w:r>
    </w:p>
    <w:p w14:paraId="3694B0D9" w14:textId="77777777" w:rsidR="00070D19" w:rsidRPr="00A33A28" w:rsidRDefault="00070D19" w:rsidP="00070D19">
      <w:pPr>
        <w:spacing w:after="0" w:line="240" w:lineRule="auto"/>
        <w:ind w:firstLine="708"/>
        <w:jc w:val="both"/>
        <w:rPr>
          <w:rFonts w:ascii="Times New Roman" w:hAnsi="Times New Roman" w:cs="Times New Roman"/>
          <w:sz w:val="24"/>
          <w:szCs w:val="24"/>
        </w:rPr>
      </w:pPr>
      <w:r w:rsidRPr="00A33A28">
        <w:rPr>
          <w:rFonts w:ascii="Times New Roman" w:hAnsi="Times New Roman" w:cs="Times New Roman"/>
          <w:sz w:val="24"/>
          <w:szCs w:val="24"/>
        </w:rPr>
        <w:t xml:space="preserve">Spomedzi 15 investičných zámerov smerovalo päť do najmenej rozvinutých okresov. Výška intenzity pomoci sa v týchto prípadoch blížila k maximálnej hranici (s výnimkou investície rozšírenia výroby </w:t>
      </w:r>
      <w:proofErr w:type="spellStart"/>
      <w:r w:rsidRPr="00A33A28">
        <w:rPr>
          <w:rFonts w:ascii="Times New Roman" w:hAnsi="Times New Roman" w:cs="Times New Roman"/>
          <w:sz w:val="24"/>
          <w:szCs w:val="24"/>
        </w:rPr>
        <w:t>spoločnost</w:t>
      </w:r>
      <w:proofErr w:type="spellEnd"/>
      <w:r w:rsidRPr="00A33A28">
        <w:rPr>
          <w:rFonts w:ascii="Times New Roman" w:hAnsi="Times New Roman" w:cs="Times New Roman"/>
          <w:sz w:val="24"/>
          <w:szCs w:val="24"/>
        </w:rPr>
        <w:t xml:space="preserve"> </w:t>
      </w:r>
      <w:proofErr w:type="spellStart"/>
      <w:r w:rsidRPr="00A33A28">
        <w:rPr>
          <w:rFonts w:ascii="Times New Roman" w:hAnsi="Times New Roman" w:cs="Times New Roman"/>
          <w:sz w:val="24"/>
          <w:szCs w:val="24"/>
        </w:rPr>
        <w:t>Essity</w:t>
      </w:r>
      <w:proofErr w:type="spellEnd"/>
      <w:r w:rsidRPr="00A33A28">
        <w:rPr>
          <w:rFonts w:ascii="Times New Roman" w:hAnsi="Times New Roman" w:cs="Times New Roman"/>
          <w:sz w:val="24"/>
          <w:szCs w:val="24"/>
        </w:rPr>
        <w:t>), čo je zrejmým dôkazom o maximálnej miere akou sú MH SR a vláda SR pripravené investície v najmenej rozvinutých okresoch (ďalej len „NRO“) podporiť.</w:t>
      </w:r>
    </w:p>
    <w:p w14:paraId="01514FE0" w14:textId="77777777" w:rsidR="00070D19" w:rsidRPr="00A33A28" w:rsidRDefault="00070D19" w:rsidP="00070D19">
      <w:pPr>
        <w:spacing w:after="0" w:line="240" w:lineRule="auto"/>
        <w:ind w:firstLine="708"/>
        <w:jc w:val="both"/>
        <w:rPr>
          <w:rFonts w:ascii="Times New Roman" w:hAnsi="Times New Roman" w:cs="Times New Roman"/>
          <w:sz w:val="24"/>
          <w:szCs w:val="24"/>
        </w:rPr>
      </w:pPr>
      <w:r w:rsidRPr="00A33A28">
        <w:rPr>
          <w:rFonts w:ascii="Times New Roman" w:hAnsi="Times New Roman" w:cs="Times New Roman"/>
          <w:sz w:val="24"/>
          <w:szCs w:val="24"/>
        </w:rPr>
        <w:t xml:space="preserve">Takmer tri štvrtiny projektov schválenej investičnej pomoci boli projekty zamerané na rozšírenie výroby. Uvedené vnímame ako pozitívny trend a tiež ako spokojnosť etablovaných investorov na Slovensku. </w:t>
      </w:r>
    </w:p>
    <w:p w14:paraId="2771EC17" w14:textId="77777777" w:rsidR="00070D19" w:rsidRPr="00A33A28" w:rsidRDefault="00070D19" w:rsidP="00070D19">
      <w:pPr>
        <w:spacing w:after="0" w:line="240" w:lineRule="auto"/>
        <w:ind w:firstLine="708"/>
        <w:jc w:val="both"/>
        <w:rPr>
          <w:rFonts w:ascii="Times New Roman" w:hAnsi="Times New Roman" w:cs="Times New Roman"/>
          <w:sz w:val="24"/>
          <w:szCs w:val="24"/>
        </w:rPr>
      </w:pPr>
      <w:r w:rsidRPr="00A33A28">
        <w:rPr>
          <w:rFonts w:ascii="Times New Roman" w:hAnsi="Times New Roman" w:cs="Times New Roman"/>
          <w:sz w:val="24"/>
          <w:szCs w:val="24"/>
        </w:rPr>
        <w:t xml:space="preserve">Stratégiou MH SR v súlade s novou legislatívou je aj naďalej podporovať tvorbu pracovných miest v NRO. Je ale potrebné konštatovať, že s cieľom, aby v horizonte niekoľkých rokov nevznikali najmenej rozvinuté okresy na západnom Slovensku, má MH SR ambíciu aj      v týchto regiónoch podporovať práve tie investície, ktoré budú prinášať pridanú hodnotu a </w:t>
      </w:r>
      <w:proofErr w:type="spellStart"/>
      <w:r w:rsidRPr="00A33A28">
        <w:rPr>
          <w:rFonts w:ascii="Times New Roman" w:hAnsi="Times New Roman" w:cs="Times New Roman"/>
          <w:sz w:val="24"/>
          <w:szCs w:val="24"/>
        </w:rPr>
        <w:t>know</w:t>
      </w:r>
      <w:proofErr w:type="spellEnd"/>
      <w:r w:rsidRPr="00A33A28">
        <w:rPr>
          <w:rFonts w:ascii="Times New Roman" w:hAnsi="Times New Roman" w:cs="Times New Roman"/>
          <w:sz w:val="24"/>
          <w:szCs w:val="24"/>
        </w:rPr>
        <w:t xml:space="preserve"> </w:t>
      </w:r>
      <w:proofErr w:type="spellStart"/>
      <w:r w:rsidRPr="00A33A28">
        <w:rPr>
          <w:rFonts w:ascii="Times New Roman" w:hAnsi="Times New Roman" w:cs="Times New Roman"/>
          <w:sz w:val="24"/>
          <w:szCs w:val="24"/>
        </w:rPr>
        <w:t>how</w:t>
      </w:r>
      <w:proofErr w:type="spellEnd"/>
      <w:r w:rsidRPr="00A33A28">
        <w:rPr>
          <w:rFonts w:ascii="Times New Roman" w:hAnsi="Times New Roman" w:cs="Times New Roman"/>
          <w:sz w:val="24"/>
          <w:szCs w:val="24"/>
        </w:rPr>
        <w:t xml:space="preserve"> v súlade s prechodom na stratégiu inteligentného priemyslu, Industry 4.0.</w:t>
      </w:r>
    </w:p>
    <w:p w14:paraId="587AEC2C" w14:textId="77777777" w:rsidR="00070D19" w:rsidRPr="00A33A28" w:rsidRDefault="00070D19" w:rsidP="00070D19">
      <w:pPr>
        <w:spacing w:after="0" w:line="240" w:lineRule="auto"/>
        <w:ind w:firstLine="708"/>
        <w:jc w:val="both"/>
        <w:rPr>
          <w:rFonts w:ascii="Times New Roman" w:hAnsi="Times New Roman" w:cs="Times New Roman"/>
          <w:sz w:val="24"/>
          <w:szCs w:val="24"/>
        </w:rPr>
      </w:pPr>
    </w:p>
    <w:p w14:paraId="7EC333B4" w14:textId="77777777" w:rsidR="00070D19" w:rsidRPr="00A33A28" w:rsidRDefault="00070D19" w:rsidP="00070D19">
      <w:pPr>
        <w:spacing w:after="0" w:line="240" w:lineRule="auto"/>
        <w:ind w:firstLine="708"/>
        <w:jc w:val="both"/>
        <w:rPr>
          <w:rFonts w:ascii="Times New Roman" w:hAnsi="Times New Roman" w:cs="Times New Roman"/>
          <w:sz w:val="24"/>
          <w:szCs w:val="24"/>
        </w:rPr>
      </w:pPr>
    </w:p>
    <w:p w14:paraId="21A36F23" w14:textId="77777777" w:rsidR="00070D19" w:rsidRPr="00A33A28" w:rsidRDefault="00070D19" w:rsidP="00070D19">
      <w:pPr>
        <w:spacing w:after="0" w:line="240" w:lineRule="auto"/>
        <w:ind w:firstLine="708"/>
        <w:jc w:val="both"/>
        <w:rPr>
          <w:rFonts w:ascii="Times New Roman" w:hAnsi="Times New Roman" w:cs="Times New Roman"/>
          <w:sz w:val="24"/>
          <w:szCs w:val="24"/>
        </w:rPr>
      </w:pPr>
    </w:p>
    <w:p w14:paraId="15EB572D" w14:textId="77777777" w:rsidR="00070D19" w:rsidRPr="00A33A28" w:rsidRDefault="00070D19" w:rsidP="00070D19">
      <w:pPr>
        <w:spacing w:after="0" w:line="240" w:lineRule="auto"/>
        <w:ind w:firstLine="708"/>
        <w:jc w:val="both"/>
        <w:rPr>
          <w:rFonts w:ascii="Times New Roman" w:hAnsi="Times New Roman" w:cs="Times New Roman"/>
          <w:sz w:val="24"/>
          <w:szCs w:val="24"/>
        </w:rPr>
      </w:pPr>
    </w:p>
    <w:p w14:paraId="007C1B70" w14:textId="77777777" w:rsidR="00070D19" w:rsidRPr="00A33A28" w:rsidRDefault="00070D19" w:rsidP="00070D19">
      <w:pPr>
        <w:spacing w:after="0" w:line="240" w:lineRule="auto"/>
        <w:ind w:firstLine="708"/>
        <w:jc w:val="both"/>
        <w:rPr>
          <w:rFonts w:ascii="Times New Roman" w:hAnsi="Times New Roman" w:cs="Times New Roman"/>
          <w:sz w:val="24"/>
          <w:szCs w:val="24"/>
        </w:rPr>
      </w:pPr>
    </w:p>
    <w:p w14:paraId="3435531B" w14:textId="77777777" w:rsidR="00070D19" w:rsidRPr="00A33A28" w:rsidRDefault="00070D19" w:rsidP="00070D19">
      <w:pPr>
        <w:spacing w:after="0" w:line="240" w:lineRule="auto"/>
        <w:ind w:firstLine="708"/>
        <w:jc w:val="both"/>
        <w:rPr>
          <w:rFonts w:ascii="Times New Roman" w:hAnsi="Times New Roman" w:cs="Times New Roman"/>
          <w:sz w:val="24"/>
          <w:szCs w:val="24"/>
        </w:rPr>
      </w:pPr>
    </w:p>
    <w:p w14:paraId="7CC20E38" w14:textId="77777777" w:rsidR="00070D19" w:rsidRPr="00A33A28" w:rsidRDefault="00070D19" w:rsidP="00070D19">
      <w:pPr>
        <w:spacing w:after="0" w:line="240" w:lineRule="auto"/>
        <w:ind w:firstLine="708"/>
        <w:jc w:val="both"/>
        <w:rPr>
          <w:rFonts w:ascii="Times New Roman" w:hAnsi="Times New Roman" w:cs="Times New Roman"/>
          <w:sz w:val="24"/>
          <w:szCs w:val="24"/>
        </w:rPr>
      </w:pPr>
    </w:p>
    <w:p w14:paraId="3BA876C3" w14:textId="77777777" w:rsidR="00070D19" w:rsidRPr="00A33A28" w:rsidRDefault="00070D19" w:rsidP="00070D19">
      <w:pPr>
        <w:spacing w:after="0" w:line="240" w:lineRule="auto"/>
        <w:ind w:firstLine="708"/>
        <w:jc w:val="both"/>
        <w:rPr>
          <w:rFonts w:ascii="Times New Roman" w:hAnsi="Times New Roman" w:cs="Times New Roman"/>
          <w:sz w:val="24"/>
          <w:szCs w:val="24"/>
        </w:rPr>
      </w:pPr>
    </w:p>
    <w:p w14:paraId="48E0F52D" w14:textId="77777777" w:rsidR="00070D19" w:rsidRPr="00A33A28" w:rsidRDefault="00070D19" w:rsidP="00070D19">
      <w:pPr>
        <w:spacing w:after="0" w:line="240" w:lineRule="auto"/>
        <w:ind w:firstLine="708"/>
        <w:jc w:val="both"/>
        <w:rPr>
          <w:rFonts w:ascii="Times New Roman" w:hAnsi="Times New Roman" w:cs="Times New Roman"/>
          <w:sz w:val="24"/>
          <w:szCs w:val="24"/>
        </w:rPr>
      </w:pPr>
    </w:p>
    <w:p w14:paraId="792A8D1F" w14:textId="77777777" w:rsidR="00070D19" w:rsidRPr="00A33A28" w:rsidRDefault="00070D19" w:rsidP="00070D19">
      <w:pPr>
        <w:spacing w:after="0" w:line="240" w:lineRule="auto"/>
        <w:ind w:firstLine="708"/>
        <w:jc w:val="both"/>
        <w:rPr>
          <w:rFonts w:ascii="Times New Roman" w:hAnsi="Times New Roman" w:cs="Times New Roman"/>
          <w:sz w:val="24"/>
          <w:szCs w:val="24"/>
        </w:rPr>
      </w:pPr>
    </w:p>
    <w:p w14:paraId="7074CCEE" w14:textId="77777777" w:rsidR="00070D19" w:rsidRPr="00A33A28" w:rsidRDefault="00070D19" w:rsidP="00070D19">
      <w:pPr>
        <w:spacing w:after="0" w:line="240" w:lineRule="auto"/>
        <w:ind w:firstLine="708"/>
        <w:jc w:val="both"/>
        <w:rPr>
          <w:rFonts w:ascii="Times New Roman" w:hAnsi="Times New Roman" w:cs="Times New Roman"/>
          <w:sz w:val="24"/>
          <w:szCs w:val="24"/>
        </w:rPr>
      </w:pPr>
    </w:p>
    <w:p w14:paraId="4BE6AB3D" w14:textId="77777777" w:rsidR="00070D19" w:rsidRPr="00A33A28" w:rsidRDefault="00070D19" w:rsidP="00070D19">
      <w:pPr>
        <w:spacing w:after="0" w:line="240" w:lineRule="auto"/>
        <w:ind w:firstLine="708"/>
        <w:jc w:val="both"/>
        <w:rPr>
          <w:rFonts w:ascii="Times New Roman" w:hAnsi="Times New Roman" w:cs="Times New Roman"/>
          <w:sz w:val="24"/>
          <w:szCs w:val="24"/>
        </w:rPr>
      </w:pPr>
    </w:p>
    <w:p w14:paraId="6B4428D6" w14:textId="77777777" w:rsidR="00070D19" w:rsidRPr="00A33A28" w:rsidRDefault="00070D19" w:rsidP="00070D19">
      <w:pPr>
        <w:spacing w:after="0" w:line="240" w:lineRule="auto"/>
        <w:ind w:firstLine="708"/>
        <w:jc w:val="both"/>
        <w:rPr>
          <w:rFonts w:ascii="Times New Roman" w:hAnsi="Times New Roman" w:cs="Times New Roman"/>
          <w:sz w:val="24"/>
          <w:szCs w:val="24"/>
        </w:rPr>
      </w:pPr>
    </w:p>
    <w:p w14:paraId="30DF863D" w14:textId="77777777" w:rsidR="00070D19" w:rsidRPr="00A33A28" w:rsidRDefault="00070D19" w:rsidP="00070D19">
      <w:pPr>
        <w:spacing w:after="0" w:line="240" w:lineRule="auto"/>
        <w:ind w:firstLine="708"/>
        <w:jc w:val="both"/>
        <w:rPr>
          <w:rFonts w:ascii="Times New Roman" w:hAnsi="Times New Roman" w:cs="Times New Roman"/>
          <w:sz w:val="24"/>
          <w:szCs w:val="24"/>
        </w:rPr>
      </w:pPr>
    </w:p>
    <w:p w14:paraId="0A2DAC9A" w14:textId="77777777" w:rsidR="00070D19" w:rsidRPr="00A33A28" w:rsidRDefault="00070D19" w:rsidP="00070D19">
      <w:pPr>
        <w:spacing w:after="0" w:line="240" w:lineRule="auto"/>
        <w:ind w:firstLine="708"/>
        <w:jc w:val="both"/>
        <w:rPr>
          <w:rFonts w:ascii="Times New Roman" w:hAnsi="Times New Roman" w:cs="Times New Roman"/>
          <w:sz w:val="24"/>
          <w:szCs w:val="24"/>
        </w:rPr>
      </w:pPr>
    </w:p>
    <w:p w14:paraId="15434CA4" w14:textId="77777777" w:rsidR="00070D19" w:rsidRPr="00A33A28" w:rsidRDefault="00070D19" w:rsidP="00070D19">
      <w:pPr>
        <w:spacing w:after="0" w:line="240" w:lineRule="auto"/>
        <w:ind w:firstLine="708"/>
        <w:jc w:val="both"/>
        <w:rPr>
          <w:rFonts w:ascii="Times New Roman" w:hAnsi="Times New Roman" w:cs="Times New Roman"/>
          <w:sz w:val="24"/>
          <w:szCs w:val="24"/>
        </w:rPr>
      </w:pPr>
    </w:p>
    <w:p w14:paraId="51DFE800" w14:textId="77777777" w:rsidR="00070D19" w:rsidRPr="00A33A28" w:rsidRDefault="00070D19" w:rsidP="00070D19">
      <w:pPr>
        <w:spacing w:after="0" w:line="240" w:lineRule="auto"/>
        <w:ind w:firstLine="708"/>
        <w:jc w:val="both"/>
        <w:rPr>
          <w:rFonts w:ascii="Times New Roman" w:hAnsi="Times New Roman" w:cs="Times New Roman"/>
          <w:sz w:val="24"/>
          <w:szCs w:val="24"/>
        </w:rPr>
      </w:pPr>
    </w:p>
    <w:p w14:paraId="15D4193A" w14:textId="77777777" w:rsidR="00070D19" w:rsidRPr="00A33A28" w:rsidRDefault="00070D19" w:rsidP="00070D19">
      <w:pPr>
        <w:spacing w:after="0" w:line="240" w:lineRule="auto"/>
        <w:ind w:firstLine="708"/>
        <w:jc w:val="both"/>
        <w:rPr>
          <w:rFonts w:ascii="Times New Roman" w:hAnsi="Times New Roman" w:cs="Times New Roman"/>
          <w:sz w:val="24"/>
          <w:szCs w:val="24"/>
        </w:rPr>
      </w:pPr>
    </w:p>
    <w:p w14:paraId="04D875A7" w14:textId="77777777" w:rsidR="00070D19" w:rsidRPr="00A33A28" w:rsidRDefault="00070D19" w:rsidP="00070D19">
      <w:pPr>
        <w:spacing w:after="0" w:line="240" w:lineRule="auto"/>
        <w:ind w:firstLine="708"/>
        <w:jc w:val="both"/>
        <w:rPr>
          <w:rFonts w:ascii="Times New Roman" w:hAnsi="Times New Roman" w:cs="Times New Roman"/>
          <w:sz w:val="24"/>
          <w:szCs w:val="24"/>
        </w:rPr>
      </w:pPr>
    </w:p>
    <w:p w14:paraId="7F264841" w14:textId="77777777" w:rsidR="00070D19" w:rsidRPr="00A33A28" w:rsidRDefault="00070D19" w:rsidP="00070D19">
      <w:pPr>
        <w:spacing w:after="0" w:line="240" w:lineRule="auto"/>
        <w:ind w:firstLine="708"/>
        <w:jc w:val="both"/>
        <w:rPr>
          <w:rFonts w:ascii="Times New Roman" w:hAnsi="Times New Roman" w:cs="Times New Roman"/>
          <w:sz w:val="24"/>
          <w:szCs w:val="24"/>
        </w:rPr>
      </w:pPr>
    </w:p>
    <w:p w14:paraId="7AAED57A" w14:textId="77777777" w:rsidR="00070D19" w:rsidRPr="00A33A28" w:rsidRDefault="00070D19" w:rsidP="00070D19">
      <w:pPr>
        <w:spacing w:after="0" w:line="240" w:lineRule="auto"/>
        <w:ind w:firstLine="708"/>
        <w:jc w:val="both"/>
        <w:rPr>
          <w:rFonts w:ascii="Times New Roman" w:hAnsi="Times New Roman" w:cs="Times New Roman"/>
          <w:sz w:val="24"/>
          <w:szCs w:val="24"/>
        </w:rPr>
      </w:pPr>
    </w:p>
    <w:p w14:paraId="2040B0DE" w14:textId="77777777" w:rsidR="00070D19" w:rsidRPr="00A33A28" w:rsidRDefault="00070D19" w:rsidP="00070D19">
      <w:pPr>
        <w:spacing w:after="0" w:line="240" w:lineRule="auto"/>
        <w:ind w:firstLine="708"/>
        <w:jc w:val="both"/>
        <w:rPr>
          <w:rFonts w:ascii="Times New Roman" w:hAnsi="Times New Roman" w:cs="Times New Roman"/>
          <w:sz w:val="24"/>
          <w:szCs w:val="24"/>
        </w:rPr>
      </w:pPr>
    </w:p>
    <w:p w14:paraId="6CCDFEC0" w14:textId="77777777" w:rsidR="00070D19" w:rsidRPr="00A33A28" w:rsidRDefault="00070D19" w:rsidP="00070D19">
      <w:pPr>
        <w:spacing w:after="0" w:line="240" w:lineRule="auto"/>
        <w:ind w:firstLine="708"/>
        <w:jc w:val="both"/>
        <w:rPr>
          <w:rFonts w:ascii="Times New Roman" w:hAnsi="Times New Roman" w:cs="Times New Roman"/>
          <w:sz w:val="24"/>
          <w:szCs w:val="24"/>
        </w:rPr>
      </w:pPr>
    </w:p>
    <w:p w14:paraId="35B2FE3E" w14:textId="77777777" w:rsidR="00070D19" w:rsidRPr="00A33A28" w:rsidRDefault="00070D19" w:rsidP="00070D19">
      <w:pPr>
        <w:spacing w:after="0" w:line="240" w:lineRule="auto"/>
        <w:ind w:firstLine="708"/>
        <w:jc w:val="both"/>
        <w:rPr>
          <w:rFonts w:ascii="Times New Roman" w:hAnsi="Times New Roman" w:cs="Times New Roman"/>
          <w:sz w:val="24"/>
          <w:szCs w:val="24"/>
        </w:rPr>
      </w:pPr>
    </w:p>
    <w:p w14:paraId="2ED058FB" w14:textId="77777777" w:rsidR="00070D19" w:rsidRPr="00A33A28" w:rsidRDefault="00070D19" w:rsidP="00070D19">
      <w:pPr>
        <w:spacing w:after="0" w:line="240" w:lineRule="auto"/>
        <w:ind w:firstLine="708"/>
        <w:jc w:val="both"/>
        <w:rPr>
          <w:rFonts w:ascii="Times New Roman" w:hAnsi="Times New Roman" w:cs="Times New Roman"/>
          <w:sz w:val="24"/>
          <w:szCs w:val="24"/>
        </w:rPr>
      </w:pPr>
    </w:p>
    <w:p w14:paraId="09F26177" w14:textId="77777777" w:rsidR="00070D19" w:rsidRPr="00A33A28" w:rsidRDefault="00070D19" w:rsidP="00070D19">
      <w:pPr>
        <w:spacing w:after="0" w:line="240" w:lineRule="auto"/>
        <w:ind w:firstLine="708"/>
        <w:jc w:val="both"/>
        <w:rPr>
          <w:rFonts w:ascii="Times New Roman" w:hAnsi="Times New Roman" w:cs="Times New Roman"/>
          <w:sz w:val="24"/>
          <w:szCs w:val="24"/>
        </w:rPr>
      </w:pPr>
    </w:p>
    <w:p w14:paraId="3291C243" w14:textId="77777777" w:rsidR="00070D19" w:rsidRPr="00A33A28" w:rsidRDefault="00070D19" w:rsidP="00070D19">
      <w:pPr>
        <w:spacing w:after="0" w:line="240" w:lineRule="auto"/>
        <w:ind w:firstLine="708"/>
        <w:jc w:val="both"/>
        <w:rPr>
          <w:rFonts w:ascii="Times New Roman" w:hAnsi="Times New Roman" w:cs="Times New Roman"/>
          <w:sz w:val="24"/>
          <w:szCs w:val="24"/>
        </w:rPr>
      </w:pPr>
    </w:p>
    <w:p w14:paraId="1CD64861" w14:textId="77777777" w:rsidR="00070D19" w:rsidRPr="00A33A28" w:rsidRDefault="00070D19" w:rsidP="00070D19">
      <w:pPr>
        <w:spacing w:after="0" w:line="240" w:lineRule="auto"/>
        <w:ind w:firstLine="708"/>
        <w:jc w:val="both"/>
        <w:rPr>
          <w:rFonts w:ascii="Times New Roman" w:hAnsi="Times New Roman" w:cs="Times New Roman"/>
          <w:sz w:val="24"/>
          <w:szCs w:val="24"/>
        </w:rPr>
      </w:pPr>
    </w:p>
    <w:p w14:paraId="63A36204" w14:textId="77777777" w:rsidR="00070D19" w:rsidRPr="00A33A28" w:rsidRDefault="00070D19" w:rsidP="00070D19">
      <w:pPr>
        <w:spacing w:after="0" w:line="240" w:lineRule="auto"/>
        <w:ind w:firstLine="708"/>
        <w:jc w:val="both"/>
        <w:rPr>
          <w:rFonts w:ascii="Times New Roman" w:hAnsi="Times New Roman" w:cs="Times New Roman"/>
          <w:sz w:val="24"/>
          <w:szCs w:val="24"/>
        </w:rPr>
      </w:pPr>
    </w:p>
    <w:p w14:paraId="0DF416D0" w14:textId="77777777" w:rsidR="00070D19" w:rsidRPr="00A33A28" w:rsidRDefault="00070D19" w:rsidP="00070D19">
      <w:pPr>
        <w:spacing w:after="0" w:line="240" w:lineRule="auto"/>
        <w:ind w:firstLine="708"/>
        <w:jc w:val="both"/>
        <w:rPr>
          <w:rFonts w:ascii="Times New Roman" w:hAnsi="Times New Roman" w:cs="Times New Roman"/>
          <w:sz w:val="24"/>
          <w:szCs w:val="24"/>
        </w:rPr>
      </w:pPr>
    </w:p>
    <w:p w14:paraId="681BD77E" w14:textId="77777777" w:rsidR="00070D19" w:rsidRPr="00A33A28" w:rsidRDefault="00070D19" w:rsidP="00070D19">
      <w:pPr>
        <w:spacing w:after="0" w:line="240" w:lineRule="auto"/>
        <w:ind w:firstLine="708"/>
        <w:jc w:val="both"/>
        <w:rPr>
          <w:rFonts w:ascii="Times New Roman" w:hAnsi="Times New Roman" w:cs="Times New Roman"/>
          <w:sz w:val="24"/>
          <w:szCs w:val="24"/>
        </w:rPr>
      </w:pPr>
    </w:p>
    <w:p w14:paraId="0F26E3E1" w14:textId="77777777" w:rsidR="00070D19" w:rsidRPr="00A33A28" w:rsidRDefault="00070D19" w:rsidP="00070D19">
      <w:pPr>
        <w:spacing w:after="0" w:line="240" w:lineRule="auto"/>
        <w:ind w:firstLine="708"/>
        <w:jc w:val="both"/>
        <w:rPr>
          <w:rFonts w:ascii="Times New Roman" w:hAnsi="Times New Roman" w:cs="Times New Roman"/>
          <w:sz w:val="24"/>
          <w:szCs w:val="24"/>
        </w:rPr>
      </w:pPr>
    </w:p>
    <w:p w14:paraId="6200DFD1" w14:textId="77777777" w:rsidR="00070D19" w:rsidRPr="00A33A28" w:rsidRDefault="00070D19" w:rsidP="00070D19">
      <w:pPr>
        <w:spacing w:after="0" w:line="240" w:lineRule="auto"/>
        <w:ind w:firstLine="708"/>
        <w:jc w:val="both"/>
        <w:rPr>
          <w:rFonts w:ascii="Times New Roman" w:hAnsi="Times New Roman" w:cs="Times New Roman"/>
          <w:sz w:val="24"/>
          <w:szCs w:val="24"/>
        </w:rPr>
      </w:pPr>
    </w:p>
    <w:p w14:paraId="56972DCA" w14:textId="77777777" w:rsidR="00070D19" w:rsidRDefault="00070D19" w:rsidP="00070D19">
      <w:pPr>
        <w:spacing w:after="0" w:line="240" w:lineRule="auto"/>
        <w:ind w:firstLine="708"/>
        <w:jc w:val="both"/>
        <w:rPr>
          <w:rFonts w:ascii="Times New Roman" w:hAnsi="Times New Roman" w:cs="Times New Roman"/>
          <w:sz w:val="24"/>
          <w:szCs w:val="24"/>
        </w:rPr>
      </w:pPr>
    </w:p>
    <w:p w14:paraId="00C4888F" w14:textId="6C7CCF3E" w:rsidR="00070D19" w:rsidRDefault="00070D19" w:rsidP="00070D19">
      <w:pPr>
        <w:spacing w:after="0" w:line="240" w:lineRule="auto"/>
        <w:ind w:firstLine="708"/>
        <w:jc w:val="both"/>
        <w:rPr>
          <w:rFonts w:ascii="Times New Roman" w:hAnsi="Times New Roman" w:cs="Times New Roman"/>
          <w:sz w:val="24"/>
          <w:szCs w:val="24"/>
        </w:rPr>
      </w:pPr>
    </w:p>
    <w:p w14:paraId="0B27793C" w14:textId="50E064C1" w:rsidR="00506C08" w:rsidRDefault="00506C08" w:rsidP="00070D19">
      <w:pPr>
        <w:spacing w:after="0" w:line="240" w:lineRule="auto"/>
        <w:ind w:firstLine="708"/>
        <w:jc w:val="both"/>
        <w:rPr>
          <w:rFonts w:ascii="Times New Roman" w:hAnsi="Times New Roman" w:cs="Times New Roman"/>
          <w:sz w:val="24"/>
          <w:szCs w:val="24"/>
        </w:rPr>
      </w:pPr>
    </w:p>
    <w:p w14:paraId="4B862180" w14:textId="77777777" w:rsidR="00506C08" w:rsidRPr="00A33A28" w:rsidRDefault="00506C08" w:rsidP="00070D19">
      <w:pPr>
        <w:spacing w:after="0" w:line="240" w:lineRule="auto"/>
        <w:ind w:firstLine="708"/>
        <w:jc w:val="both"/>
        <w:rPr>
          <w:rFonts w:ascii="Times New Roman" w:hAnsi="Times New Roman" w:cs="Times New Roman"/>
          <w:sz w:val="24"/>
          <w:szCs w:val="24"/>
        </w:rPr>
      </w:pPr>
    </w:p>
    <w:p w14:paraId="0EB79830" w14:textId="77777777" w:rsidR="00070D19" w:rsidRPr="00A33A28" w:rsidRDefault="00070D19" w:rsidP="00070D19">
      <w:pPr>
        <w:pStyle w:val="Odsekzoznamu"/>
        <w:numPr>
          <w:ilvl w:val="0"/>
          <w:numId w:val="4"/>
        </w:numPr>
        <w:tabs>
          <w:tab w:val="left" w:pos="284"/>
        </w:tabs>
        <w:spacing w:after="240"/>
        <w:ind w:hanging="720"/>
        <w:rPr>
          <w:rFonts w:ascii="Times New Roman" w:hAnsi="Times New Roman" w:cs="Times New Roman"/>
          <w:b/>
          <w:sz w:val="28"/>
          <w:szCs w:val="28"/>
        </w:rPr>
      </w:pPr>
      <w:r w:rsidRPr="00A33A28">
        <w:rPr>
          <w:rFonts w:ascii="Times New Roman" w:hAnsi="Times New Roman" w:cs="Times New Roman"/>
          <w:b/>
          <w:sz w:val="28"/>
          <w:szCs w:val="28"/>
        </w:rPr>
        <w:lastRenderedPageBreak/>
        <w:t xml:space="preserve">Komparatívne hodnotenie podnikateľského prostredia </w:t>
      </w:r>
    </w:p>
    <w:p w14:paraId="345632CB" w14:textId="77777777" w:rsidR="00070D19" w:rsidRPr="00A33A28" w:rsidRDefault="00070D19" w:rsidP="00070D19">
      <w:pPr>
        <w:pStyle w:val="Odsekzoznamu"/>
        <w:tabs>
          <w:tab w:val="left" w:pos="284"/>
        </w:tabs>
        <w:spacing w:after="240"/>
        <w:ind w:left="0"/>
        <w:rPr>
          <w:rFonts w:ascii="Times New Roman" w:hAnsi="Times New Roman" w:cs="Times New Roman"/>
          <w:b/>
          <w:sz w:val="28"/>
          <w:szCs w:val="28"/>
        </w:rPr>
      </w:pPr>
    </w:p>
    <w:p w14:paraId="69E7746A" w14:textId="77777777" w:rsidR="00070D19" w:rsidRPr="00A33A28" w:rsidRDefault="00070D19" w:rsidP="00070D19">
      <w:pPr>
        <w:pStyle w:val="Odsekzoznamu"/>
        <w:numPr>
          <w:ilvl w:val="1"/>
          <w:numId w:val="4"/>
        </w:numPr>
        <w:tabs>
          <w:tab w:val="left" w:pos="426"/>
        </w:tabs>
        <w:ind w:left="0" w:firstLine="0"/>
        <w:rPr>
          <w:rFonts w:ascii="Times New Roman" w:hAnsi="Times New Roman" w:cs="Times New Roman"/>
          <w:b/>
          <w:sz w:val="24"/>
          <w:szCs w:val="24"/>
        </w:rPr>
      </w:pPr>
      <w:r w:rsidRPr="00A33A28">
        <w:rPr>
          <w:rFonts w:ascii="Times New Roman" w:hAnsi="Times New Roman" w:cs="Times New Roman"/>
          <w:b/>
          <w:sz w:val="24"/>
          <w:szCs w:val="24"/>
        </w:rPr>
        <w:t>Hodnotenie Svetovej banky „</w:t>
      </w:r>
      <w:proofErr w:type="spellStart"/>
      <w:r w:rsidRPr="00A33A28">
        <w:rPr>
          <w:rFonts w:ascii="Times New Roman" w:hAnsi="Times New Roman" w:cs="Times New Roman"/>
          <w:b/>
          <w:sz w:val="24"/>
          <w:szCs w:val="24"/>
        </w:rPr>
        <w:t>Doing</w:t>
      </w:r>
      <w:proofErr w:type="spellEnd"/>
      <w:r w:rsidRPr="00A33A28">
        <w:rPr>
          <w:rFonts w:ascii="Times New Roman" w:hAnsi="Times New Roman" w:cs="Times New Roman"/>
          <w:b/>
          <w:sz w:val="24"/>
          <w:szCs w:val="24"/>
        </w:rPr>
        <w:t xml:space="preserve"> Business“</w:t>
      </w:r>
    </w:p>
    <w:p w14:paraId="6F6A06D2" w14:textId="77777777" w:rsidR="00070D19" w:rsidRPr="00A33A28" w:rsidRDefault="00070D19" w:rsidP="00070D19">
      <w:pPr>
        <w:spacing w:after="0" w:line="240" w:lineRule="auto"/>
        <w:ind w:firstLine="709"/>
        <w:jc w:val="both"/>
        <w:rPr>
          <w:rFonts w:ascii="Times New Roman" w:hAnsi="Times New Roman" w:cs="Times New Roman"/>
          <w:sz w:val="24"/>
          <w:szCs w:val="24"/>
        </w:rPr>
      </w:pPr>
    </w:p>
    <w:p w14:paraId="519495A2" w14:textId="77777777" w:rsidR="00070D19" w:rsidRPr="00A33A28" w:rsidRDefault="00070D19" w:rsidP="00070D19">
      <w:pPr>
        <w:spacing w:after="0" w:line="240" w:lineRule="auto"/>
        <w:ind w:firstLine="709"/>
        <w:jc w:val="both"/>
        <w:rPr>
          <w:rFonts w:ascii="Times New Roman" w:hAnsi="Times New Roman" w:cs="Times New Roman"/>
          <w:sz w:val="24"/>
          <w:szCs w:val="24"/>
        </w:rPr>
      </w:pPr>
      <w:r w:rsidRPr="00A33A28">
        <w:rPr>
          <w:rFonts w:ascii="Times New Roman" w:hAnsi="Times New Roman" w:cs="Times New Roman"/>
          <w:sz w:val="24"/>
          <w:szCs w:val="24"/>
        </w:rPr>
        <w:t xml:space="preserve">Hodnotenie </w:t>
      </w:r>
      <w:proofErr w:type="spellStart"/>
      <w:r w:rsidRPr="00A33A28">
        <w:rPr>
          <w:rFonts w:ascii="Times New Roman" w:hAnsi="Times New Roman" w:cs="Times New Roman"/>
          <w:i/>
          <w:sz w:val="24"/>
          <w:szCs w:val="24"/>
        </w:rPr>
        <w:t>Doing</w:t>
      </w:r>
      <w:proofErr w:type="spellEnd"/>
      <w:r w:rsidRPr="00A33A28">
        <w:rPr>
          <w:rFonts w:ascii="Times New Roman" w:hAnsi="Times New Roman" w:cs="Times New Roman"/>
          <w:i/>
          <w:sz w:val="24"/>
          <w:szCs w:val="24"/>
        </w:rPr>
        <w:t xml:space="preserve"> Business</w:t>
      </w:r>
      <w:r w:rsidRPr="00A33A28">
        <w:rPr>
          <w:rFonts w:ascii="Times New Roman" w:hAnsi="Times New Roman" w:cs="Times New Roman"/>
          <w:sz w:val="24"/>
          <w:szCs w:val="24"/>
        </w:rPr>
        <w:t xml:space="preserve">, ktoré Svetová banka každoročne vydáva, skúma regulačné prostredie ovplyvňujúce podnikanie v 190 krajinách. Konečné hodnotenie je vypracované </w:t>
      </w:r>
      <w:r w:rsidRPr="00A33A28">
        <w:rPr>
          <w:rFonts w:ascii="Times New Roman" w:hAnsi="Times New Roman" w:cs="Times New Roman"/>
          <w:sz w:val="24"/>
          <w:szCs w:val="24"/>
        </w:rPr>
        <w:br/>
        <w:t>na základe čiastkových hodnotení v 10 indikátoroch, ktoré sú spolu s umiestnením SR v rebríčku v rokoch 2014 – 2018 uvedené v tabuľke 4.1.1.</w:t>
      </w:r>
    </w:p>
    <w:p w14:paraId="4C3D3EB1" w14:textId="77777777" w:rsidR="00070D19" w:rsidRPr="00A33A28" w:rsidRDefault="00070D19" w:rsidP="00070D19">
      <w:pPr>
        <w:spacing w:after="0" w:line="240" w:lineRule="auto"/>
        <w:jc w:val="both"/>
        <w:rPr>
          <w:rFonts w:ascii="Times New Roman" w:hAnsi="Times New Roman" w:cs="Times New Roman"/>
          <w:b/>
        </w:rPr>
      </w:pPr>
    </w:p>
    <w:p w14:paraId="649AFA25" w14:textId="77777777" w:rsidR="00070D19" w:rsidRPr="00A33A28" w:rsidRDefault="00070D19" w:rsidP="00070D19">
      <w:pPr>
        <w:spacing w:after="0" w:line="240" w:lineRule="auto"/>
        <w:jc w:val="both"/>
        <w:rPr>
          <w:rFonts w:ascii="Times New Roman" w:hAnsi="Times New Roman" w:cs="Times New Roman"/>
          <w:b/>
        </w:rPr>
      </w:pPr>
      <w:r w:rsidRPr="00A33A28">
        <w:rPr>
          <w:rFonts w:ascii="Times New Roman" w:hAnsi="Times New Roman" w:cs="Times New Roman"/>
          <w:b/>
        </w:rPr>
        <w:t xml:space="preserve">Tabuľka 2.1.1 Umiestnenie SR v hodnotení jednotlivých indikátorov a v celkovom hodnotení </w:t>
      </w:r>
      <w:proofErr w:type="spellStart"/>
      <w:r w:rsidRPr="00A33A28">
        <w:rPr>
          <w:rFonts w:ascii="Times New Roman" w:hAnsi="Times New Roman" w:cs="Times New Roman"/>
          <w:b/>
        </w:rPr>
        <w:t>Doing</w:t>
      </w:r>
      <w:proofErr w:type="spellEnd"/>
      <w:r w:rsidRPr="00A33A28">
        <w:rPr>
          <w:rFonts w:ascii="Times New Roman" w:hAnsi="Times New Roman" w:cs="Times New Roman"/>
          <w:b/>
        </w:rPr>
        <w:t xml:space="preserve"> Business v rokoch 2014 – 2018</w:t>
      </w:r>
    </w:p>
    <w:tbl>
      <w:tblPr>
        <w:tblStyle w:val="Mriekatabuky"/>
        <w:tblW w:w="4975" w:type="pct"/>
        <w:jc w:val="center"/>
        <w:tblLayout w:type="fixed"/>
        <w:tblLook w:val="04A0" w:firstRow="1" w:lastRow="0" w:firstColumn="1" w:lastColumn="0" w:noHBand="0" w:noVBand="1"/>
      </w:tblPr>
      <w:tblGrid>
        <w:gridCol w:w="3917"/>
        <w:gridCol w:w="1023"/>
        <w:gridCol w:w="966"/>
        <w:gridCol w:w="943"/>
        <w:gridCol w:w="943"/>
        <w:gridCol w:w="947"/>
        <w:gridCol w:w="785"/>
      </w:tblGrid>
      <w:tr w:rsidR="00070D19" w:rsidRPr="00A33A28" w14:paraId="21438072" w14:textId="77777777" w:rsidTr="00653141">
        <w:trPr>
          <w:tblHeader/>
          <w:jc w:val="center"/>
        </w:trPr>
        <w:tc>
          <w:tcPr>
            <w:tcW w:w="2057" w:type="pct"/>
            <w:vMerge w:val="restart"/>
            <w:shd w:val="clear" w:color="auto" w:fill="548DD4" w:themeFill="text2" w:themeFillTint="99"/>
            <w:vAlign w:val="center"/>
          </w:tcPr>
          <w:p w14:paraId="287B4239" w14:textId="77777777" w:rsidR="00070D19" w:rsidRPr="00A33A28" w:rsidRDefault="00070D19" w:rsidP="00653141">
            <w:pPr>
              <w:jc w:val="center"/>
              <w:rPr>
                <w:rFonts w:ascii="Times New Roman" w:hAnsi="Times New Roman" w:cs="Times New Roman"/>
                <w:b/>
                <w:sz w:val="20"/>
                <w:szCs w:val="20"/>
              </w:rPr>
            </w:pPr>
            <w:r w:rsidRPr="00A33A28">
              <w:rPr>
                <w:rFonts w:ascii="Times New Roman" w:hAnsi="Times New Roman" w:cs="Times New Roman"/>
                <w:b/>
                <w:sz w:val="20"/>
                <w:szCs w:val="20"/>
              </w:rPr>
              <w:t>Indikátor</w:t>
            </w:r>
          </w:p>
        </w:tc>
        <w:tc>
          <w:tcPr>
            <w:tcW w:w="2943" w:type="pct"/>
            <w:gridSpan w:val="6"/>
            <w:shd w:val="clear" w:color="auto" w:fill="548DD4" w:themeFill="text2" w:themeFillTint="99"/>
            <w:vAlign w:val="center"/>
          </w:tcPr>
          <w:p w14:paraId="1BA843F3" w14:textId="77777777" w:rsidR="00070D19" w:rsidRPr="00A33A28" w:rsidRDefault="00070D19" w:rsidP="00653141">
            <w:pPr>
              <w:jc w:val="center"/>
              <w:rPr>
                <w:rFonts w:ascii="Times New Roman" w:hAnsi="Times New Roman" w:cs="Times New Roman"/>
                <w:b/>
                <w:sz w:val="20"/>
                <w:szCs w:val="20"/>
              </w:rPr>
            </w:pPr>
            <w:r w:rsidRPr="00A33A28">
              <w:rPr>
                <w:rFonts w:ascii="Times New Roman" w:hAnsi="Times New Roman" w:cs="Times New Roman"/>
                <w:b/>
                <w:sz w:val="20"/>
                <w:szCs w:val="20"/>
              </w:rPr>
              <w:t>Rok hodnotenia a pozícia v rebríčku</w:t>
            </w:r>
          </w:p>
        </w:tc>
      </w:tr>
      <w:tr w:rsidR="00070D19" w:rsidRPr="00A33A28" w14:paraId="15FB6278" w14:textId="77777777" w:rsidTr="00653141">
        <w:trPr>
          <w:tblHeader/>
          <w:jc w:val="center"/>
        </w:trPr>
        <w:tc>
          <w:tcPr>
            <w:tcW w:w="2057" w:type="pct"/>
            <w:vMerge/>
            <w:shd w:val="clear" w:color="auto" w:fill="00B0F0"/>
            <w:vAlign w:val="center"/>
          </w:tcPr>
          <w:p w14:paraId="35A34D9C" w14:textId="77777777" w:rsidR="00070D19" w:rsidRPr="00A33A28" w:rsidRDefault="00070D19" w:rsidP="00653141">
            <w:pPr>
              <w:jc w:val="center"/>
              <w:rPr>
                <w:rFonts w:ascii="Times New Roman" w:hAnsi="Times New Roman" w:cs="Times New Roman"/>
                <w:b/>
                <w:sz w:val="20"/>
                <w:szCs w:val="20"/>
              </w:rPr>
            </w:pPr>
          </w:p>
        </w:tc>
        <w:tc>
          <w:tcPr>
            <w:tcW w:w="537" w:type="pct"/>
            <w:shd w:val="clear" w:color="auto" w:fill="548DD4" w:themeFill="text2" w:themeFillTint="99"/>
            <w:vAlign w:val="center"/>
          </w:tcPr>
          <w:p w14:paraId="54E53C5A" w14:textId="77777777" w:rsidR="00070D19" w:rsidRPr="00A33A28" w:rsidRDefault="00070D19" w:rsidP="00653141">
            <w:pPr>
              <w:jc w:val="center"/>
              <w:rPr>
                <w:rFonts w:ascii="Times New Roman" w:hAnsi="Times New Roman" w:cs="Times New Roman"/>
                <w:b/>
                <w:sz w:val="20"/>
                <w:szCs w:val="20"/>
              </w:rPr>
            </w:pPr>
            <w:r w:rsidRPr="00A33A28">
              <w:rPr>
                <w:rFonts w:ascii="Times New Roman" w:hAnsi="Times New Roman" w:cs="Times New Roman"/>
                <w:b/>
                <w:sz w:val="20"/>
                <w:szCs w:val="20"/>
              </w:rPr>
              <w:t>2018</w:t>
            </w:r>
          </w:p>
        </w:tc>
        <w:tc>
          <w:tcPr>
            <w:tcW w:w="507" w:type="pct"/>
            <w:shd w:val="clear" w:color="auto" w:fill="548DD4" w:themeFill="text2" w:themeFillTint="99"/>
            <w:vAlign w:val="center"/>
          </w:tcPr>
          <w:p w14:paraId="79492B00" w14:textId="77777777" w:rsidR="00070D19" w:rsidRPr="00A33A28" w:rsidRDefault="00070D19" w:rsidP="00653141">
            <w:pPr>
              <w:jc w:val="center"/>
              <w:rPr>
                <w:rFonts w:ascii="Times New Roman" w:hAnsi="Times New Roman" w:cs="Times New Roman"/>
                <w:b/>
                <w:sz w:val="20"/>
                <w:szCs w:val="20"/>
              </w:rPr>
            </w:pPr>
            <w:r w:rsidRPr="00A33A28">
              <w:rPr>
                <w:rFonts w:ascii="Times New Roman" w:hAnsi="Times New Roman" w:cs="Times New Roman"/>
                <w:b/>
                <w:sz w:val="20"/>
                <w:szCs w:val="20"/>
              </w:rPr>
              <w:t>Zmena</w:t>
            </w:r>
          </w:p>
        </w:tc>
        <w:tc>
          <w:tcPr>
            <w:tcW w:w="495" w:type="pct"/>
            <w:shd w:val="clear" w:color="auto" w:fill="548DD4" w:themeFill="text2" w:themeFillTint="99"/>
            <w:vAlign w:val="center"/>
          </w:tcPr>
          <w:p w14:paraId="070384D5" w14:textId="77777777" w:rsidR="00070D19" w:rsidRPr="00A33A28" w:rsidRDefault="00070D19" w:rsidP="00653141">
            <w:pPr>
              <w:jc w:val="center"/>
              <w:rPr>
                <w:rFonts w:ascii="Times New Roman" w:hAnsi="Times New Roman" w:cs="Times New Roman"/>
                <w:b/>
                <w:sz w:val="20"/>
                <w:szCs w:val="20"/>
              </w:rPr>
            </w:pPr>
            <w:r w:rsidRPr="00A33A28">
              <w:rPr>
                <w:rFonts w:ascii="Times New Roman" w:hAnsi="Times New Roman" w:cs="Times New Roman"/>
                <w:b/>
                <w:sz w:val="20"/>
                <w:szCs w:val="20"/>
              </w:rPr>
              <w:t>2017</w:t>
            </w:r>
          </w:p>
        </w:tc>
        <w:tc>
          <w:tcPr>
            <w:tcW w:w="495" w:type="pct"/>
            <w:shd w:val="clear" w:color="auto" w:fill="548DD4" w:themeFill="text2" w:themeFillTint="99"/>
            <w:vAlign w:val="center"/>
          </w:tcPr>
          <w:p w14:paraId="2D0B8D29" w14:textId="77777777" w:rsidR="00070D19" w:rsidRPr="00A33A28" w:rsidRDefault="00070D19" w:rsidP="00653141">
            <w:pPr>
              <w:jc w:val="center"/>
              <w:rPr>
                <w:rFonts w:ascii="Times New Roman" w:hAnsi="Times New Roman" w:cs="Times New Roman"/>
                <w:b/>
                <w:sz w:val="20"/>
                <w:szCs w:val="20"/>
              </w:rPr>
            </w:pPr>
            <w:r w:rsidRPr="00A33A28">
              <w:rPr>
                <w:rFonts w:ascii="Times New Roman" w:hAnsi="Times New Roman" w:cs="Times New Roman"/>
                <w:b/>
                <w:sz w:val="20"/>
                <w:szCs w:val="20"/>
              </w:rPr>
              <w:t>2016</w:t>
            </w:r>
          </w:p>
        </w:tc>
        <w:tc>
          <w:tcPr>
            <w:tcW w:w="497" w:type="pct"/>
            <w:shd w:val="clear" w:color="auto" w:fill="548DD4" w:themeFill="text2" w:themeFillTint="99"/>
            <w:vAlign w:val="center"/>
          </w:tcPr>
          <w:p w14:paraId="2F333710" w14:textId="77777777" w:rsidR="00070D19" w:rsidRPr="00A33A28" w:rsidRDefault="00070D19" w:rsidP="00653141">
            <w:pPr>
              <w:jc w:val="center"/>
              <w:rPr>
                <w:rFonts w:ascii="Times New Roman" w:hAnsi="Times New Roman" w:cs="Times New Roman"/>
                <w:b/>
                <w:sz w:val="20"/>
                <w:szCs w:val="20"/>
              </w:rPr>
            </w:pPr>
            <w:r w:rsidRPr="00A33A28">
              <w:rPr>
                <w:rFonts w:ascii="Times New Roman" w:hAnsi="Times New Roman" w:cs="Times New Roman"/>
                <w:b/>
                <w:sz w:val="20"/>
                <w:szCs w:val="20"/>
              </w:rPr>
              <w:t>2015</w:t>
            </w:r>
          </w:p>
        </w:tc>
        <w:tc>
          <w:tcPr>
            <w:tcW w:w="412" w:type="pct"/>
            <w:shd w:val="clear" w:color="auto" w:fill="548DD4" w:themeFill="text2" w:themeFillTint="99"/>
            <w:vAlign w:val="center"/>
          </w:tcPr>
          <w:p w14:paraId="5AD41A22" w14:textId="77777777" w:rsidR="00070D19" w:rsidRPr="00A33A28" w:rsidRDefault="00070D19" w:rsidP="00653141">
            <w:pPr>
              <w:jc w:val="center"/>
              <w:rPr>
                <w:rFonts w:ascii="Times New Roman" w:hAnsi="Times New Roman" w:cs="Times New Roman"/>
                <w:b/>
                <w:sz w:val="20"/>
                <w:szCs w:val="20"/>
              </w:rPr>
            </w:pPr>
            <w:r w:rsidRPr="00A33A28">
              <w:rPr>
                <w:rFonts w:ascii="Times New Roman" w:hAnsi="Times New Roman" w:cs="Times New Roman"/>
                <w:b/>
                <w:sz w:val="20"/>
                <w:szCs w:val="20"/>
              </w:rPr>
              <w:t>2014</w:t>
            </w:r>
          </w:p>
        </w:tc>
      </w:tr>
      <w:tr w:rsidR="00070D19" w:rsidRPr="00A33A28" w14:paraId="77FF5142" w14:textId="77777777" w:rsidTr="00653141">
        <w:trPr>
          <w:tblHeader/>
          <w:jc w:val="center"/>
        </w:trPr>
        <w:tc>
          <w:tcPr>
            <w:tcW w:w="2057" w:type="pct"/>
            <w:vAlign w:val="center"/>
          </w:tcPr>
          <w:p w14:paraId="67FD6072"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Začatie podnikania</w:t>
            </w:r>
          </w:p>
        </w:tc>
        <w:tc>
          <w:tcPr>
            <w:tcW w:w="537" w:type="pct"/>
            <w:vAlign w:val="center"/>
          </w:tcPr>
          <w:p w14:paraId="7E69E0DC"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83</w:t>
            </w:r>
          </w:p>
        </w:tc>
        <w:tc>
          <w:tcPr>
            <w:tcW w:w="507" w:type="pct"/>
            <w:vAlign w:val="center"/>
          </w:tcPr>
          <w:p w14:paraId="3EE443E5" w14:textId="77777777" w:rsidR="00070D19" w:rsidRPr="00A33A28" w:rsidRDefault="00070D19" w:rsidP="00653141">
            <w:pPr>
              <w:jc w:val="center"/>
              <w:rPr>
                <w:rFonts w:ascii="Times New Roman" w:hAnsi="Times New Roman" w:cs="Times New Roman"/>
                <w:b/>
                <w:sz w:val="20"/>
                <w:szCs w:val="20"/>
              </w:rPr>
            </w:pPr>
            <w:r w:rsidRPr="00A33A28">
              <w:rPr>
                <w:rFonts w:ascii="Times New Roman" w:hAnsi="Times New Roman" w:cs="Times New Roman"/>
                <w:b/>
                <w:noProof/>
                <w:sz w:val="20"/>
                <w:szCs w:val="20"/>
                <w:lang w:eastAsia="sk-SK"/>
              </w:rPr>
              <w:drawing>
                <wp:inline distT="0" distB="0" distL="0" distR="0" wp14:anchorId="09357E42" wp14:editId="64396132">
                  <wp:extent cx="104775" cy="123825"/>
                  <wp:effectExtent l="0" t="0" r="9525" b="9525"/>
                  <wp:docPr id="16" name="Obrázok 16" descr="dow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wn"/>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A33A28">
              <w:rPr>
                <w:rFonts w:ascii="Times New Roman" w:hAnsi="Times New Roman" w:cs="Times New Roman"/>
                <w:sz w:val="20"/>
                <w:szCs w:val="20"/>
              </w:rPr>
              <w:t>15</w:t>
            </w:r>
          </w:p>
        </w:tc>
        <w:tc>
          <w:tcPr>
            <w:tcW w:w="495" w:type="pct"/>
            <w:vAlign w:val="center"/>
          </w:tcPr>
          <w:p w14:paraId="560D784A"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68</w:t>
            </w:r>
          </w:p>
        </w:tc>
        <w:tc>
          <w:tcPr>
            <w:tcW w:w="495" w:type="pct"/>
            <w:vAlign w:val="center"/>
          </w:tcPr>
          <w:p w14:paraId="5DCC8F64"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64</w:t>
            </w:r>
          </w:p>
        </w:tc>
        <w:tc>
          <w:tcPr>
            <w:tcW w:w="497" w:type="pct"/>
            <w:vAlign w:val="center"/>
          </w:tcPr>
          <w:p w14:paraId="0BA5C75F"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71</w:t>
            </w:r>
          </w:p>
        </w:tc>
        <w:tc>
          <w:tcPr>
            <w:tcW w:w="412" w:type="pct"/>
            <w:vAlign w:val="center"/>
          </w:tcPr>
          <w:p w14:paraId="71DE4B65"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108</w:t>
            </w:r>
          </w:p>
        </w:tc>
      </w:tr>
      <w:tr w:rsidR="00070D19" w:rsidRPr="00A33A28" w14:paraId="49759346" w14:textId="77777777" w:rsidTr="00653141">
        <w:trPr>
          <w:tblHeader/>
          <w:jc w:val="center"/>
        </w:trPr>
        <w:tc>
          <w:tcPr>
            <w:tcW w:w="2057" w:type="pct"/>
            <w:vAlign w:val="center"/>
          </w:tcPr>
          <w:p w14:paraId="18DD3CA7"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Získavanie stavebných povolení</w:t>
            </w:r>
          </w:p>
        </w:tc>
        <w:tc>
          <w:tcPr>
            <w:tcW w:w="537" w:type="pct"/>
            <w:vAlign w:val="center"/>
          </w:tcPr>
          <w:p w14:paraId="7A6C86E4"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91</w:t>
            </w:r>
          </w:p>
        </w:tc>
        <w:tc>
          <w:tcPr>
            <w:tcW w:w="507" w:type="pct"/>
            <w:vAlign w:val="center"/>
          </w:tcPr>
          <w:p w14:paraId="307FC9D2" w14:textId="77777777" w:rsidR="00070D19" w:rsidRPr="00A33A28" w:rsidRDefault="00070D19" w:rsidP="00653141">
            <w:pPr>
              <w:jc w:val="center"/>
              <w:rPr>
                <w:rFonts w:ascii="Times New Roman" w:hAnsi="Times New Roman" w:cs="Times New Roman"/>
                <w:sz w:val="20"/>
                <w:szCs w:val="20"/>
              </w:rPr>
            </w:pPr>
            <w:r w:rsidRPr="00A33A28">
              <w:rPr>
                <w:rFonts w:ascii="Times New Roman" w:eastAsia="Times New Roman" w:hAnsi="Times New Roman" w:cs="Times New Roman"/>
                <w:noProof/>
                <w:sz w:val="20"/>
                <w:szCs w:val="20"/>
                <w:lang w:eastAsia="sk-SK"/>
              </w:rPr>
              <w:drawing>
                <wp:inline distT="0" distB="0" distL="0" distR="0" wp14:anchorId="0852B65A" wp14:editId="682A3F7C">
                  <wp:extent cx="104775" cy="123825"/>
                  <wp:effectExtent l="0" t="0" r="9525" b="9525"/>
                  <wp:docPr id="2048" name="Obrázok 2048" descr="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up"/>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A33A28">
              <w:rPr>
                <w:rFonts w:ascii="Times New Roman" w:hAnsi="Times New Roman" w:cs="Times New Roman"/>
                <w:sz w:val="20"/>
                <w:szCs w:val="20"/>
              </w:rPr>
              <w:t>12</w:t>
            </w:r>
          </w:p>
        </w:tc>
        <w:tc>
          <w:tcPr>
            <w:tcW w:w="495" w:type="pct"/>
            <w:vAlign w:val="center"/>
          </w:tcPr>
          <w:p w14:paraId="316E53D5"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103</w:t>
            </w:r>
          </w:p>
        </w:tc>
        <w:tc>
          <w:tcPr>
            <w:tcW w:w="495" w:type="pct"/>
            <w:vAlign w:val="center"/>
          </w:tcPr>
          <w:p w14:paraId="7092E459"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102</w:t>
            </w:r>
          </w:p>
        </w:tc>
        <w:tc>
          <w:tcPr>
            <w:tcW w:w="497" w:type="pct"/>
            <w:vAlign w:val="center"/>
          </w:tcPr>
          <w:p w14:paraId="4E4F1F98"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78</w:t>
            </w:r>
          </w:p>
        </w:tc>
        <w:tc>
          <w:tcPr>
            <w:tcW w:w="412" w:type="pct"/>
            <w:vAlign w:val="center"/>
          </w:tcPr>
          <w:p w14:paraId="4C7BEE66"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53</w:t>
            </w:r>
          </w:p>
        </w:tc>
      </w:tr>
      <w:tr w:rsidR="00070D19" w:rsidRPr="00A33A28" w14:paraId="07AD3B80" w14:textId="77777777" w:rsidTr="00653141">
        <w:trPr>
          <w:tblHeader/>
          <w:jc w:val="center"/>
        </w:trPr>
        <w:tc>
          <w:tcPr>
            <w:tcW w:w="2057" w:type="pct"/>
            <w:vAlign w:val="center"/>
          </w:tcPr>
          <w:p w14:paraId="3E9FC490"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Prístup k elektrickej energii</w:t>
            </w:r>
          </w:p>
        </w:tc>
        <w:tc>
          <w:tcPr>
            <w:tcW w:w="537" w:type="pct"/>
            <w:vAlign w:val="center"/>
          </w:tcPr>
          <w:p w14:paraId="1244A3E1"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57</w:t>
            </w:r>
          </w:p>
        </w:tc>
        <w:tc>
          <w:tcPr>
            <w:tcW w:w="507" w:type="pct"/>
            <w:vAlign w:val="center"/>
          </w:tcPr>
          <w:p w14:paraId="6E4FA0DD" w14:textId="77777777" w:rsidR="00070D19" w:rsidRPr="00A33A28" w:rsidRDefault="00070D19" w:rsidP="00653141">
            <w:pPr>
              <w:jc w:val="center"/>
              <w:rPr>
                <w:rFonts w:ascii="Times New Roman" w:hAnsi="Times New Roman" w:cs="Times New Roman"/>
                <w:sz w:val="20"/>
                <w:szCs w:val="20"/>
              </w:rPr>
            </w:pPr>
            <w:r w:rsidRPr="00A33A28">
              <w:rPr>
                <w:rFonts w:ascii="Times New Roman" w:eastAsia="Times New Roman" w:hAnsi="Times New Roman" w:cs="Times New Roman"/>
                <w:noProof/>
                <w:sz w:val="20"/>
                <w:szCs w:val="20"/>
                <w:lang w:eastAsia="sk-SK"/>
              </w:rPr>
              <w:drawing>
                <wp:inline distT="0" distB="0" distL="0" distR="0" wp14:anchorId="37D25901" wp14:editId="1BAD56DA">
                  <wp:extent cx="104775" cy="123825"/>
                  <wp:effectExtent l="0" t="0" r="9525" b="9525"/>
                  <wp:docPr id="2049" name="Obrázok 2049" descr="dow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wn"/>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A33A28">
              <w:rPr>
                <w:rFonts w:ascii="Times New Roman" w:hAnsi="Times New Roman" w:cs="Times New Roman"/>
                <w:sz w:val="20"/>
                <w:szCs w:val="20"/>
              </w:rPr>
              <w:t>4</w:t>
            </w:r>
          </w:p>
        </w:tc>
        <w:tc>
          <w:tcPr>
            <w:tcW w:w="495" w:type="pct"/>
            <w:vAlign w:val="center"/>
          </w:tcPr>
          <w:p w14:paraId="7FDB2BFA"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53</w:t>
            </w:r>
          </w:p>
        </w:tc>
        <w:tc>
          <w:tcPr>
            <w:tcW w:w="495" w:type="pct"/>
            <w:vAlign w:val="center"/>
          </w:tcPr>
          <w:p w14:paraId="16331307"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47</w:t>
            </w:r>
          </w:p>
        </w:tc>
        <w:tc>
          <w:tcPr>
            <w:tcW w:w="497" w:type="pct"/>
            <w:vAlign w:val="center"/>
          </w:tcPr>
          <w:p w14:paraId="406DBB1A"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46</w:t>
            </w:r>
          </w:p>
        </w:tc>
        <w:tc>
          <w:tcPr>
            <w:tcW w:w="412" w:type="pct"/>
            <w:vAlign w:val="center"/>
          </w:tcPr>
          <w:p w14:paraId="4CAF99D4"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65</w:t>
            </w:r>
          </w:p>
        </w:tc>
      </w:tr>
      <w:tr w:rsidR="00070D19" w:rsidRPr="00A33A28" w14:paraId="26DFB889" w14:textId="77777777" w:rsidTr="00653141">
        <w:trPr>
          <w:tblHeader/>
          <w:jc w:val="center"/>
        </w:trPr>
        <w:tc>
          <w:tcPr>
            <w:tcW w:w="2057" w:type="pct"/>
            <w:vAlign w:val="center"/>
          </w:tcPr>
          <w:p w14:paraId="1BD05D0B"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Registrácia majetku</w:t>
            </w:r>
          </w:p>
        </w:tc>
        <w:tc>
          <w:tcPr>
            <w:tcW w:w="537" w:type="pct"/>
            <w:vAlign w:val="center"/>
          </w:tcPr>
          <w:p w14:paraId="238E23AC"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7</w:t>
            </w:r>
          </w:p>
        </w:tc>
        <w:tc>
          <w:tcPr>
            <w:tcW w:w="507" w:type="pct"/>
            <w:vAlign w:val="center"/>
          </w:tcPr>
          <w:p w14:paraId="1EFB4B90"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w:t>
            </w:r>
          </w:p>
        </w:tc>
        <w:tc>
          <w:tcPr>
            <w:tcW w:w="495" w:type="pct"/>
            <w:vAlign w:val="center"/>
          </w:tcPr>
          <w:p w14:paraId="298E9121"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7</w:t>
            </w:r>
          </w:p>
        </w:tc>
        <w:tc>
          <w:tcPr>
            <w:tcW w:w="495" w:type="pct"/>
            <w:vAlign w:val="center"/>
          </w:tcPr>
          <w:p w14:paraId="5D627335"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5</w:t>
            </w:r>
          </w:p>
        </w:tc>
        <w:tc>
          <w:tcPr>
            <w:tcW w:w="497" w:type="pct"/>
            <w:vAlign w:val="center"/>
          </w:tcPr>
          <w:p w14:paraId="24EA9864"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5</w:t>
            </w:r>
          </w:p>
        </w:tc>
        <w:tc>
          <w:tcPr>
            <w:tcW w:w="412" w:type="pct"/>
            <w:vAlign w:val="center"/>
          </w:tcPr>
          <w:p w14:paraId="56E4E987"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11</w:t>
            </w:r>
          </w:p>
        </w:tc>
      </w:tr>
      <w:tr w:rsidR="00070D19" w:rsidRPr="00A33A28" w14:paraId="3B9E1682" w14:textId="77777777" w:rsidTr="00653141">
        <w:trPr>
          <w:tblHeader/>
          <w:jc w:val="center"/>
        </w:trPr>
        <w:tc>
          <w:tcPr>
            <w:tcW w:w="2057" w:type="pct"/>
            <w:vAlign w:val="center"/>
          </w:tcPr>
          <w:p w14:paraId="6FB72719"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Získanie úveru</w:t>
            </w:r>
          </w:p>
        </w:tc>
        <w:tc>
          <w:tcPr>
            <w:tcW w:w="537" w:type="pct"/>
            <w:vAlign w:val="center"/>
          </w:tcPr>
          <w:p w14:paraId="6063E749"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55</w:t>
            </w:r>
          </w:p>
        </w:tc>
        <w:tc>
          <w:tcPr>
            <w:tcW w:w="507" w:type="pct"/>
            <w:vAlign w:val="center"/>
          </w:tcPr>
          <w:p w14:paraId="73ACC970" w14:textId="77777777" w:rsidR="00070D19" w:rsidRPr="00A33A28" w:rsidRDefault="00070D19" w:rsidP="00653141">
            <w:pPr>
              <w:jc w:val="center"/>
              <w:rPr>
                <w:rFonts w:ascii="Times New Roman" w:hAnsi="Times New Roman" w:cs="Times New Roman"/>
                <w:sz w:val="20"/>
                <w:szCs w:val="20"/>
              </w:rPr>
            </w:pPr>
            <w:r w:rsidRPr="00A33A28">
              <w:rPr>
                <w:rFonts w:ascii="Times New Roman" w:eastAsia="Times New Roman" w:hAnsi="Times New Roman" w:cs="Times New Roman"/>
                <w:noProof/>
                <w:sz w:val="20"/>
                <w:szCs w:val="20"/>
                <w:lang w:eastAsia="sk-SK"/>
              </w:rPr>
              <w:drawing>
                <wp:inline distT="0" distB="0" distL="0" distR="0" wp14:anchorId="63E9BAB7" wp14:editId="18ACF04D">
                  <wp:extent cx="104775" cy="123825"/>
                  <wp:effectExtent l="0" t="0" r="9525" b="9525"/>
                  <wp:docPr id="5" name="Obrázok 5" descr="dow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wn"/>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A33A28">
              <w:rPr>
                <w:rFonts w:ascii="Times New Roman" w:hAnsi="Times New Roman" w:cs="Times New Roman"/>
                <w:sz w:val="20"/>
                <w:szCs w:val="20"/>
              </w:rPr>
              <w:t>11</w:t>
            </w:r>
          </w:p>
        </w:tc>
        <w:tc>
          <w:tcPr>
            <w:tcW w:w="495" w:type="pct"/>
            <w:vAlign w:val="center"/>
          </w:tcPr>
          <w:p w14:paraId="46B8B96F"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44</w:t>
            </w:r>
          </w:p>
        </w:tc>
        <w:tc>
          <w:tcPr>
            <w:tcW w:w="495" w:type="pct"/>
            <w:vAlign w:val="center"/>
          </w:tcPr>
          <w:p w14:paraId="37AEB8F5"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42</w:t>
            </w:r>
          </w:p>
        </w:tc>
        <w:tc>
          <w:tcPr>
            <w:tcW w:w="497" w:type="pct"/>
            <w:vAlign w:val="center"/>
          </w:tcPr>
          <w:p w14:paraId="44FA5C7B"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36</w:t>
            </w:r>
          </w:p>
        </w:tc>
        <w:tc>
          <w:tcPr>
            <w:tcW w:w="412" w:type="pct"/>
            <w:vAlign w:val="center"/>
          </w:tcPr>
          <w:p w14:paraId="53BAAD7A"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42</w:t>
            </w:r>
          </w:p>
        </w:tc>
      </w:tr>
      <w:tr w:rsidR="00070D19" w:rsidRPr="00A33A28" w14:paraId="3D0AB53C" w14:textId="77777777" w:rsidTr="00653141">
        <w:trPr>
          <w:tblHeader/>
          <w:jc w:val="center"/>
        </w:trPr>
        <w:tc>
          <w:tcPr>
            <w:tcW w:w="2057" w:type="pct"/>
            <w:vAlign w:val="center"/>
          </w:tcPr>
          <w:p w14:paraId="3AD2565D"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Ochrana minoritných investorov</w:t>
            </w:r>
          </w:p>
        </w:tc>
        <w:tc>
          <w:tcPr>
            <w:tcW w:w="537" w:type="pct"/>
            <w:vAlign w:val="center"/>
          </w:tcPr>
          <w:p w14:paraId="3247FF29"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89</w:t>
            </w:r>
          </w:p>
        </w:tc>
        <w:tc>
          <w:tcPr>
            <w:tcW w:w="507" w:type="pct"/>
            <w:vAlign w:val="center"/>
          </w:tcPr>
          <w:p w14:paraId="0F14856A" w14:textId="77777777" w:rsidR="00070D19" w:rsidRPr="00A33A28" w:rsidRDefault="00070D19" w:rsidP="00653141">
            <w:pPr>
              <w:jc w:val="center"/>
              <w:rPr>
                <w:rFonts w:ascii="Times New Roman" w:hAnsi="Times New Roman" w:cs="Times New Roman"/>
                <w:sz w:val="20"/>
                <w:szCs w:val="20"/>
              </w:rPr>
            </w:pPr>
            <w:r w:rsidRPr="00A33A28">
              <w:rPr>
                <w:rFonts w:ascii="Times New Roman" w:eastAsia="Times New Roman" w:hAnsi="Times New Roman" w:cs="Times New Roman"/>
                <w:noProof/>
                <w:sz w:val="20"/>
                <w:szCs w:val="20"/>
                <w:lang w:eastAsia="sk-SK"/>
              </w:rPr>
              <w:drawing>
                <wp:inline distT="0" distB="0" distL="0" distR="0" wp14:anchorId="3D8B6A14" wp14:editId="28714C45">
                  <wp:extent cx="104775" cy="123825"/>
                  <wp:effectExtent l="0" t="0" r="9525" b="9525"/>
                  <wp:docPr id="2050" name="Obrázok 2050" descr="dow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wn"/>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A33A28">
              <w:rPr>
                <w:rFonts w:ascii="Times New Roman" w:hAnsi="Times New Roman" w:cs="Times New Roman"/>
                <w:sz w:val="20"/>
                <w:szCs w:val="20"/>
              </w:rPr>
              <w:t>2</w:t>
            </w:r>
          </w:p>
        </w:tc>
        <w:tc>
          <w:tcPr>
            <w:tcW w:w="495" w:type="pct"/>
            <w:vAlign w:val="center"/>
          </w:tcPr>
          <w:p w14:paraId="214EEBDB"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87</w:t>
            </w:r>
          </w:p>
        </w:tc>
        <w:tc>
          <w:tcPr>
            <w:tcW w:w="495" w:type="pct"/>
            <w:vAlign w:val="center"/>
          </w:tcPr>
          <w:p w14:paraId="6BBAFACF"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85</w:t>
            </w:r>
          </w:p>
        </w:tc>
        <w:tc>
          <w:tcPr>
            <w:tcW w:w="497" w:type="pct"/>
            <w:vAlign w:val="center"/>
          </w:tcPr>
          <w:p w14:paraId="7F34D79F"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87</w:t>
            </w:r>
          </w:p>
        </w:tc>
        <w:tc>
          <w:tcPr>
            <w:tcW w:w="412" w:type="pct"/>
            <w:vAlign w:val="center"/>
          </w:tcPr>
          <w:p w14:paraId="2940FBDA"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115</w:t>
            </w:r>
          </w:p>
        </w:tc>
      </w:tr>
      <w:tr w:rsidR="00070D19" w:rsidRPr="00A33A28" w14:paraId="0D9CF2DA" w14:textId="77777777" w:rsidTr="00653141">
        <w:trPr>
          <w:tblHeader/>
          <w:jc w:val="center"/>
        </w:trPr>
        <w:tc>
          <w:tcPr>
            <w:tcW w:w="2057" w:type="pct"/>
            <w:vAlign w:val="center"/>
          </w:tcPr>
          <w:p w14:paraId="5ED78CDF"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Daňové povinnosti firiem</w:t>
            </w:r>
          </w:p>
        </w:tc>
        <w:tc>
          <w:tcPr>
            <w:tcW w:w="537" w:type="pct"/>
            <w:vAlign w:val="center"/>
          </w:tcPr>
          <w:p w14:paraId="0E442B32"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49</w:t>
            </w:r>
          </w:p>
        </w:tc>
        <w:tc>
          <w:tcPr>
            <w:tcW w:w="507" w:type="pct"/>
            <w:vAlign w:val="center"/>
          </w:tcPr>
          <w:p w14:paraId="6839CB05" w14:textId="77777777" w:rsidR="00070D19" w:rsidRPr="00A33A28" w:rsidRDefault="00070D19" w:rsidP="00653141">
            <w:pPr>
              <w:jc w:val="center"/>
              <w:rPr>
                <w:rFonts w:ascii="Times New Roman" w:hAnsi="Times New Roman" w:cs="Times New Roman"/>
                <w:sz w:val="20"/>
                <w:szCs w:val="20"/>
              </w:rPr>
            </w:pPr>
            <w:r w:rsidRPr="00A33A28">
              <w:rPr>
                <w:rFonts w:ascii="Times New Roman" w:eastAsia="Times New Roman" w:hAnsi="Times New Roman" w:cs="Times New Roman"/>
                <w:noProof/>
                <w:sz w:val="20"/>
                <w:szCs w:val="20"/>
                <w:lang w:eastAsia="sk-SK"/>
              </w:rPr>
              <w:drawing>
                <wp:inline distT="0" distB="0" distL="0" distR="0" wp14:anchorId="1D87C617" wp14:editId="7CC71DB8">
                  <wp:extent cx="104775" cy="123825"/>
                  <wp:effectExtent l="0" t="0" r="9525" b="9525"/>
                  <wp:docPr id="10" name="Obrázok 10" descr="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up"/>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A33A28">
              <w:rPr>
                <w:rFonts w:ascii="Times New Roman" w:hAnsi="Times New Roman" w:cs="Times New Roman"/>
                <w:sz w:val="20"/>
                <w:szCs w:val="20"/>
              </w:rPr>
              <w:t>7</w:t>
            </w:r>
          </w:p>
        </w:tc>
        <w:tc>
          <w:tcPr>
            <w:tcW w:w="495" w:type="pct"/>
            <w:vAlign w:val="center"/>
          </w:tcPr>
          <w:p w14:paraId="0C2E5EF4"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56</w:t>
            </w:r>
          </w:p>
        </w:tc>
        <w:tc>
          <w:tcPr>
            <w:tcW w:w="495" w:type="pct"/>
            <w:vAlign w:val="center"/>
          </w:tcPr>
          <w:p w14:paraId="69FD6BD6"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58</w:t>
            </w:r>
          </w:p>
        </w:tc>
        <w:tc>
          <w:tcPr>
            <w:tcW w:w="497" w:type="pct"/>
            <w:vAlign w:val="center"/>
          </w:tcPr>
          <w:p w14:paraId="3A1EEF99"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109</w:t>
            </w:r>
          </w:p>
        </w:tc>
        <w:tc>
          <w:tcPr>
            <w:tcW w:w="412" w:type="pct"/>
            <w:vAlign w:val="center"/>
          </w:tcPr>
          <w:p w14:paraId="4FDA87EA"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102</w:t>
            </w:r>
          </w:p>
        </w:tc>
      </w:tr>
      <w:tr w:rsidR="00070D19" w:rsidRPr="00A33A28" w14:paraId="5E1D91FB" w14:textId="77777777" w:rsidTr="00653141">
        <w:trPr>
          <w:tblHeader/>
          <w:jc w:val="center"/>
        </w:trPr>
        <w:tc>
          <w:tcPr>
            <w:tcW w:w="2057" w:type="pct"/>
            <w:vAlign w:val="center"/>
          </w:tcPr>
          <w:p w14:paraId="591D5CAD"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Cezhraničné obchodovanie</w:t>
            </w:r>
          </w:p>
        </w:tc>
        <w:tc>
          <w:tcPr>
            <w:tcW w:w="537" w:type="pct"/>
            <w:vAlign w:val="center"/>
          </w:tcPr>
          <w:p w14:paraId="56793DA0"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1</w:t>
            </w:r>
          </w:p>
        </w:tc>
        <w:tc>
          <w:tcPr>
            <w:tcW w:w="507" w:type="pct"/>
            <w:vAlign w:val="center"/>
          </w:tcPr>
          <w:p w14:paraId="043E08BB"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w:t>
            </w:r>
          </w:p>
        </w:tc>
        <w:tc>
          <w:tcPr>
            <w:tcW w:w="495" w:type="pct"/>
            <w:vAlign w:val="center"/>
          </w:tcPr>
          <w:p w14:paraId="5AE1AD19"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1</w:t>
            </w:r>
          </w:p>
        </w:tc>
        <w:tc>
          <w:tcPr>
            <w:tcW w:w="495" w:type="pct"/>
            <w:vAlign w:val="center"/>
          </w:tcPr>
          <w:p w14:paraId="1EBA76A5"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1</w:t>
            </w:r>
          </w:p>
        </w:tc>
        <w:tc>
          <w:tcPr>
            <w:tcW w:w="497" w:type="pct"/>
            <w:vAlign w:val="center"/>
          </w:tcPr>
          <w:p w14:paraId="72665442"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63</w:t>
            </w:r>
          </w:p>
        </w:tc>
        <w:tc>
          <w:tcPr>
            <w:tcW w:w="412" w:type="pct"/>
            <w:vAlign w:val="center"/>
          </w:tcPr>
          <w:p w14:paraId="5ABB4A48"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65</w:t>
            </w:r>
          </w:p>
        </w:tc>
      </w:tr>
      <w:tr w:rsidR="00070D19" w:rsidRPr="00A33A28" w14:paraId="3861D173" w14:textId="77777777" w:rsidTr="00653141">
        <w:trPr>
          <w:tblHeader/>
          <w:jc w:val="center"/>
        </w:trPr>
        <w:tc>
          <w:tcPr>
            <w:tcW w:w="2057" w:type="pct"/>
            <w:vAlign w:val="center"/>
          </w:tcPr>
          <w:p w14:paraId="2F76449E"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Vymáhateľnosť zmlúv</w:t>
            </w:r>
          </w:p>
        </w:tc>
        <w:tc>
          <w:tcPr>
            <w:tcW w:w="537" w:type="pct"/>
            <w:vAlign w:val="center"/>
          </w:tcPr>
          <w:p w14:paraId="67333398"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84</w:t>
            </w:r>
          </w:p>
        </w:tc>
        <w:tc>
          <w:tcPr>
            <w:tcW w:w="507" w:type="pct"/>
            <w:vAlign w:val="center"/>
          </w:tcPr>
          <w:p w14:paraId="324F3206" w14:textId="77777777" w:rsidR="00070D19" w:rsidRPr="00A33A28" w:rsidRDefault="00070D19" w:rsidP="00653141">
            <w:pPr>
              <w:jc w:val="center"/>
              <w:rPr>
                <w:rFonts w:ascii="Times New Roman" w:hAnsi="Times New Roman" w:cs="Times New Roman"/>
                <w:sz w:val="20"/>
                <w:szCs w:val="20"/>
              </w:rPr>
            </w:pPr>
            <w:r w:rsidRPr="00A33A28">
              <w:rPr>
                <w:rFonts w:ascii="Times New Roman" w:eastAsia="Times New Roman" w:hAnsi="Times New Roman" w:cs="Times New Roman"/>
                <w:noProof/>
                <w:sz w:val="20"/>
                <w:szCs w:val="20"/>
                <w:lang w:eastAsia="sk-SK"/>
              </w:rPr>
              <w:drawing>
                <wp:inline distT="0" distB="0" distL="0" distR="0" wp14:anchorId="7DCC12FA" wp14:editId="1900F9D5">
                  <wp:extent cx="104775" cy="123825"/>
                  <wp:effectExtent l="0" t="0" r="9525" b="9525"/>
                  <wp:docPr id="2052" name="Obrázok 2052" descr="dow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wn"/>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A33A28">
              <w:rPr>
                <w:rFonts w:ascii="Times New Roman" w:hAnsi="Times New Roman" w:cs="Times New Roman"/>
                <w:sz w:val="20"/>
                <w:szCs w:val="20"/>
              </w:rPr>
              <w:t>2</w:t>
            </w:r>
          </w:p>
        </w:tc>
        <w:tc>
          <w:tcPr>
            <w:tcW w:w="495" w:type="pct"/>
            <w:vAlign w:val="center"/>
          </w:tcPr>
          <w:p w14:paraId="233EE7EC"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82</w:t>
            </w:r>
          </w:p>
        </w:tc>
        <w:tc>
          <w:tcPr>
            <w:tcW w:w="495" w:type="pct"/>
            <w:vAlign w:val="center"/>
          </w:tcPr>
          <w:p w14:paraId="3F54171C"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81</w:t>
            </w:r>
          </w:p>
        </w:tc>
        <w:tc>
          <w:tcPr>
            <w:tcW w:w="497" w:type="pct"/>
            <w:vAlign w:val="center"/>
          </w:tcPr>
          <w:p w14:paraId="180766DD"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1</w:t>
            </w:r>
          </w:p>
        </w:tc>
        <w:tc>
          <w:tcPr>
            <w:tcW w:w="412" w:type="pct"/>
            <w:vAlign w:val="center"/>
          </w:tcPr>
          <w:p w14:paraId="6F01F005"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108</w:t>
            </w:r>
          </w:p>
        </w:tc>
      </w:tr>
      <w:tr w:rsidR="00070D19" w:rsidRPr="00A33A28" w14:paraId="782BC8DE" w14:textId="77777777" w:rsidTr="00653141">
        <w:trPr>
          <w:tblHeader/>
          <w:jc w:val="center"/>
        </w:trPr>
        <w:tc>
          <w:tcPr>
            <w:tcW w:w="2057" w:type="pct"/>
            <w:vAlign w:val="center"/>
          </w:tcPr>
          <w:p w14:paraId="1BACF655"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Riešenie platobnej neschopnosti</w:t>
            </w:r>
          </w:p>
        </w:tc>
        <w:tc>
          <w:tcPr>
            <w:tcW w:w="537" w:type="pct"/>
            <w:vAlign w:val="center"/>
          </w:tcPr>
          <w:p w14:paraId="5572CE47"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42</w:t>
            </w:r>
          </w:p>
        </w:tc>
        <w:tc>
          <w:tcPr>
            <w:tcW w:w="507" w:type="pct"/>
            <w:vAlign w:val="center"/>
          </w:tcPr>
          <w:p w14:paraId="30606ADC" w14:textId="77777777" w:rsidR="00070D19" w:rsidRPr="00A33A28" w:rsidRDefault="00070D19" w:rsidP="00653141">
            <w:pPr>
              <w:jc w:val="center"/>
              <w:rPr>
                <w:rFonts w:ascii="Times New Roman" w:hAnsi="Times New Roman" w:cs="Times New Roman"/>
                <w:sz w:val="20"/>
                <w:szCs w:val="20"/>
              </w:rPr>
            </w:pPr>
            <w:r w:rsidRPr="00A33A28">
              <w:rPr>
                <w:rFonts w:ascii="Times New Roman" w:eastAsia="Times New Roman" w:hAnsi="Times New Roman" w:cs="Times New Roman"/>
                <w:noProof/>
                <w:sz w:val="20"/>
                <w:szCs w:val="20"/>
                <w:lang w:eastAsia="sk-SK"/>
              </w:rPr>
              <w:drawing>
                <wp:inline distT="0" distB="0" distL="0" distR="0" wp14:anchorId="557D2157" wp14:editId="3C74F2F4">
                  <wp:extent cx="104775" cy="123825"/>
                  <wp:effectExtent l="0" t="0" r="9525" b="9525"/>
                  <wp:docPr id="2054" name="Obrázok 2054" descr="dow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wn"/>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A33A28">
              <w:rPr>
                <w:rFonts w:ascii="Times New Roman" w:hAnsi="Times New Roman" w:cs="Times New Roman"/>
                <w:sz w:val="20"/>
                <w:szCs w:val="20"/>
              </w:rPr>
              <w:t>7</w:t>
            </w:r>
          </w:p>
        </w:tc>
        <w:tc>
          <w:tcPr>
            <w:tcW w:w="495" w:type="pct"/>
            <w:vAlign w:val="center"/>
          </w:tcPr>
          <w:p w14:paraId="7DF0576E"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35</w:t>
            </w:r>
          </w:p>
        </w:tc>
        <w:tc>
          <w:tcPr>
            <w:tcW w:w="495" w:type="pct"/>
            <w:vAlign w:val="center"/>
          </w:tcPr>
          <w:p w14:paraId="08570B2E"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34</w:t>
            </w:r>
          </w:p>
        </w:tc>
        <w:tc>
          <w:tcPr>
            <w:tcW w:w="497" w:type="pct"/>
            <w:vAlign w:val="center"/>
          </w:tcPr>
          <w:p w14:paraId="0E548CB3"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33</w:t>
            </w:r>
          </w:p>
        </w:tc>
        <w:tc>
          <w:tcPr>
            <w:tcW w:w="412" w:type="pct"/>
            <w:vAlign w:val="center"/>
          </w:tcPr>
          <w:p w14:paraId="5CA67037"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38</w:t>
            </w:r>
          </w:p>
        </w:tc>
      </w:tr>
      <w:tr w:rsidR="00070D19" w:rsidRPr="00A33A28" w14:paraId="2D4330AA" w14:textId="77777777" w:rsidTr="00653141">
        <w:trPr>
          <w:tblHeader/>
          <w:jc w:val="center"/>
        </w:trPr>
        <w:tc>
          <w:tcPr>
            <w:tcW w:w="2057" w:type="pct"/>
            <w:shd w:val="clear" w:color="auto" w:fill="548DD4" w:themeFill="text2" w:themeFillTint="99"/>
            <w:vAlign w:val="center"/>
          </w:tcPr>
          <w:p w14:paraId="42C5D327" w14:textId="77777777" w:rsidR="00070D19" w:rsidRPr="00A33A28" w:rsidRDefault="00070D19" w:rsidP="00653141">
            <w:pPr>
              <w:jc w:val="center"/>
              <w:rPr>
                <w:rFonts w:ascii="Times New Roman" w:hAnsi="Times New Roman" w:cs="Times New Roman"/>
                <w:b/>
                <w:sz w:val="20"/>
                <w:szCs w:val="20"/>
              </w:rPr>
            </w:pPr>
            <w:r w:rsidRPr="00A33A28">
              <w:rPr>
                <w:rFonts w:ascii="Times New Roman" w:hAnsi="Times New Roman" w:cs="Times New Roman"/>
                <w:b/>
                <w:sz w:val="20"/>
                <w:szCs w:val="20"/>
              </w:rPr>
              <w:t>Celkové umiestnenie SR</w:t>
            </w:r>
          </w:p>
        </w:tc>
        <w:tc>
          <w:tcPr>
            <w:tcW w:w="537" w:type="pct"/>
            <w:shd w:val="clear" w:color="auto" w:fill="548DD4" w:themeFill="text2" w:themeFillTint="99"/>
            <w:vAlign w:val="center"/>
          </w:tcPr>
          <w:p w14:paraId="3A42453A" w14:textId="77777777" w:rsidR="00070D19" w:rsidRPr="00A33A28" w:rsidRDefault="00070D19" w:rsidP="00653141">
            <w:pPr>
              <w:jc w:val="center"/>
              <w:rPr>
                <w:rFonts w:ascii="Times New Roman" w:hAnsi="Times New Roman" w:cs="Times New Roman"/>
                <w:b/>
                <w:sz w:val="20"/>
                <w:szCs w:val="20"/>
              </w:rPr>
            </w:pPr>
            <w:r w:rsidRPr="00A33A28">
              <w:rPr>
                <w:rFonts w:ascii="Times New Roman" w:hAnsi="Times New Roman" w:cs="Times New Roman"/>
                <w:b/>
                <w:sz w:val="20"/>
                <w:szCs w:val="20"/>
              </w:rPr>
              <w:t>39</w:t>
            </w:r>
          </w:p>
        </w:tc>
        <w:tc>
          <w:tcPr>
            <w:tcW w:w="507" w:type="pct"/>
            <w:shd w:val="clear" w:color="auto" w:fill="548DD4" w:themeFill="text2" w:themeFillTint="99"/>
            <w:vAlign w:val="center"/>
          </w:tcPr>
          <w:p w14:paraId="1B66958B" w14:textId="77777777" w:rsidR="00070D19" w:rsidRPr="00A33A28" w:rsidRDefault="00070D19" w:rsidP="00653141">
            <w:pPr>
              <w:jc w:val="center"/>
              <w:rPr>
                <w:rFonts w:ascii="Times New Roman" w:hAnsi="Times New Roman" w:cs="Times New Roman"/>
                <w:b/>
                <w:sz w:val="20"/>
                <w:szCs w:val="20"/>
              </w:rPr>
            </w:pPr>
            <w:r w:rsidRPr="00A33A28">
              <w:rPr>
                <w:rFonts w:ascii="Times New Roman" w:eastAsia="Times New Roman" w:hAnsi="Times New Roman" w:cs="Times New Roman"/>
                <w:noProof/>
                <w:sz w:val="20"/>
                <w:szCs w:val="20"/>
                <w:lang w:eastAsia="sk-SK"/>
              </w:rPr>
              <w:drawing>
                <wp:inline distT="0" distB="0" distL="0" distR="0" wp14:anchorId="6D994724" wp14:editId="2C4B1B61">
                  <wp:extent cx="104775" cy="123825"/>
                  <wp:effectExtent l="0" t="0" r="9525" b="9525"/>
                  <wp:docPr id="2055" name="Obrázok 2055" descr="dow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wn"/>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A33A28">
              <w:rPr>
                <w:rFonts w:ascii="Times New Roman" w:hAnsi="Times New Roman" w:cs="Times New Roman"/>
                <w:sz w:val="20"/>
                <w:szCs w:val="20"/>
              </w:rPr>
              <w:t>6</w:t>
            </w:r>
          </w:p>
        </w:tc>
        <w:tc>
          <w:tcPr>
            <w:tcW w:w="495" w:type="pct"/>
            <w:shd w:val="clear" w:color="auto" w:fill="548DD4" w:themeFill="text2" w:themeFillTint="99"/>
            <w:vAlign w:val="center"/>
          </w:tcPr>
          <w:p w14:paraId="4983B64F" w14:textId="77777777" w:rsidR="00070D19" w:rsidRPr="00A33A28" w:rsidRDefault="00070D19" w:rsidP="00653141">
            <w:pPr>
              <w:jc w:val="center"/>
              <w:rPr>
                <w:rFonts w:ascii="Times New Roman" w:hAnsi="Times New Roman" w:cs="Times New Roman"/>
                <w:b/>
                <w:sz w:val="20"/>
                <w:szCs w:val="20"/>
              </w:rPr>
            </w:pPr>
            <w:r w:rsidRPr="00A33A28">
              <w:rPr>
                <w:rFonts w:ascii="Times New Roman" w:hAnsi="Times New Roman" w:cs="Times New Roman"/>
                <w:b/>
                <w:sz w:val="20"/>
                <w:szCs w:val="20"/>
              </w:rPr>
              <w:t>33</w:t>
            </w:r>
          </w:p>
        </w:tc>
        <w:tc>
          <w:tcPr>
            <w:tcW w:w="495" w:type="pct"/>
            <w:shd w:val="clear" w:color="auto" w:fill="548DD4" w:themeFill="text2" w:themeFillTint="99"/>
            <w:vAlign w:val="center"/>
          </w:tcPr>
          <w:p w14:paraId="5CF5D31C" w14:textId="77777777" w:rsidR="00070D19" w:rsidRPr="00A33A28" w:rsidRDefault="00070D19" w:rsidP="00653141">
            <w:pPr>
              <w:jc w:val="center"/>
              <w:rPr>
                <w:rFonts w:ascii="Times New Roman" w:hAnsi="Times New Roman" w:cs="Times New Roman"/>
                <w:b/>
                <w:sz w:val="20"/>
                <w:szCs w:val="20"/>
              </w:rPr>
            </w:pPr>
            <w:r w:rsidRPr="00A33A28">
              <w:rPr>
                <w:rFonts w:ascii="Times New Roman" w:hAnsi="Times New Roman" w:cs="Times New Roman"/>
                <w:b/>
                <w:sz w:val="20"/>
                <w:szCs w:val="20"/>
              </w:rPr>
              <w:t>30</w:t>
            </w:r>
          </w:p>
        </w:tc>
        <w:tc>
          <w:tcPr>
            <w:tcW w:w="497" w:type="pct"/>
            <w:shd w:val="clear" w:color="auto" w:fill="548DD4" w:themeFill="text2" w:themeFillTint="99"/>
            <w:vAlign w:val="center"/>
          </w:tcPr>
          <w:p w14:paraId="5DB0ADEA" w14:textId="77777777" w:rsidR="00070D19" w:rsidRPr="00A33A28" w:rsidRDefault="00070D19" w:rsidP="00653141">
            <w:pPr>
              <w:jc w:val="center"/>
              <w:rPr>
                <w:rFonts w:ascii="Times New Roman" w:hAnsi="Times New Roman" w:cs="Times New Roman"/>
                <w:b/>
                <w:sz w:val="20"/>
                <w:szCs w:val="20"/>
              </w:rPr>
            </w:pPr>
            <w:r w:rsidRPr="00A33A28">
              <w:rPr>
                <w:rFonts w:ascii="Times New Roman" w:hAnsi="Times New Roman" w:cs="Times New Roman"/>
                <w:b/>
                <w:sz w:val="20"/>
                <w:szCs w:val="20"/>
              </w:rPr>
              <w:t>29</w:t>
            </w:r>
          </w:p>
        </w:tc>
        <w:tc>
          <w:tcPr>
            <w:tcW w:w="412" w:type="pct"/>
            <w:shd w:val="clear" w:color="auto" w:fill="548DD4" w:themeFill="text2" w:themeFillTint="99"/>
            <w:vAlign w:val="center"/>
          </w:tcPr>
          <w:p w14:paraId="5E0CD48E" w14:textId="77777777" w:rsidR="00070D19" w:rsidRPr="00A33A28" w:rsidRDefault="00070D19" w:rsidP="00653141">
            <w:pPr>
              <w:jc w:val="center"/>
              <w:rPr>
                <w:rFonts w:ascii="Times New Roman" w:hAnsi="Times New Roman" w:cs="Times New Roman"/>
                <w:b/>
                <w:sz w:val="20"/>
                <w:szCs w:val="20"/>
              </w:rPr>
            </w:pPr>
            <w:r w:rsidRPr="00A33A28">
              <w:rPr>
                <w:rFonts w:ascii="Times New Roman" w:hAnsi="Times New Roman" w:cs="Times New Roman"/>
                <w:b/>
                <w:sz w:val="20"/>
                <w:szCs w:val="20"/>
              </w:rPr>
              <w:t>49</w:t>
            </w:r>
          </w:p>
        </w:tc>
      </w:tr>
    </w:tbl>
    <w:p w14:paraId="05AEC4E0" w14:textId="77777777" w:rsidR="00070D19" w:rsidRPr="00A33A28" w:rsidRDefault="00070D19" w:rsidP="00070D19">
      <w:pPr>
        <w:spacing w:after="0" w:line="240" w:lineRule="auto"/>
        <w:jc w:val="both"/>
        <w:rPr>
          <w:rFonts w:ascii="Times New Roman" w:hAnsi="Times New Roman" w:cs="Times New Roman"/>
          <w:sz w:val="16"/>
          <w:szCs w:val="16"/>
        </w:rPr>
      </w:pPr>
      <w:r w:rsidRPr="00A33A28">
        <w:rPr>
          <w:rFonts w:ascii="Times New Roman" w:hAnsi="Times New Roman" w:cs="Times New Roman"/>
          <w:sz w:val="16"/>
          <w:szCs w:val="16"/>
        </w:rPr>
        <w:t xml:space="preserve">Zdroj: Svetová banka </w:t>
      </w:r>
    </w:p>
    <w:p w14:paraId="1CC3740F" w14:textId="77777777" w:rsidR="00070D19" w:rsidRPr="00A33A28" w:rsidRDefault="00070D19" w:rsidP="00070D19">
      <w:pPr>
        <w:spacing w:after="0" w:line="240" w:lineRule="auto"/>
        <w:ind w:firstLine="708"/>
        <w:jc w:val="both"/>
        <w:rPr>
          <w:rFonts w:ascii="Times New Roman" w:hAnsi="Times New Roman" w:cs="Times New Roman"/>
          <w:sz w:val="24"/>
          <w:szCs w:val="24"/>
        </w:rPr>
      </w:pPr>
    </w:p>
    <w:p w14:paraId="11481D26" w14:textId="77777777" w:rsidR="00070D19" w:rsidRPr="00A33A28" w:rsidRDefault="00070D19" w:rsidP="00070D19">
      <w:pPr>
        <w:spacing w:after="0" w:line="240" w:lineRule="auto"/>
        <w:ind w:firstLine="708"/>
        <w:jc w:val="both"/>
        <w:rPr>
          <w:rFonts w:ascii="Times New Roman" w:hAnsi="Times New Roman" w:cs="Times New Roman"/>
          <w:sz w:val="24"/>
          <w:szCs w:val="24"/>
        </w:rPr>
      </w:pPr>
      <w:r w:rsidRPr="00A33A28">
        <w:rPr>
          <w:rFonts w:ascii="Times New Roman" w:hAnsi="Times New Roman" w:cs="Times New Roman"/>
          <w:sz w:val="24"/>
          <w:szCs w:val="24"/>
        </w:rPr>
        <w:t>Posun v bodovom hodnotení (DTF skóre), ktoré objektívne popisuje vývoj krajiny bez ohľadu na zlepšenie, či zhoršenie ostatných krajín, je zaznamenaný v nasledujúcej tabuľke.</w:t>
      </w:r>
    </w:p>
    <w:p w14:paraId="1692E90A" w14:textId="77777777" w:rsidR="00070D19" w:rsidRPr="00A33A28" w:rsidRDefault="00070D19" w:rsidP="00070D19">
      <w:pPr>
        <w:spacing w:after="0" w:line="240" w:lineRule="auto"/>
        <w:ind w:firstLine="708"/>
        <w:jc w:val="both"/>
        <w:rPr>
          <w:rFonts w:ascii="Times New Roman" w:hAnsi="Times New Roman" w:cs="Times New Roman"/>
          <w:sz w:val="24"/>
          <w:szCs w:val="24"/>
        </w:rPr>
      </w:pPr>
    </w:p>
    <w:p w14:paraId="1D02DAE2" w14:textId="77777777" w:rsidR="00070D19" w:rsidRPr="00A33A28" w:rsidRDefault="00070D19" w:rsidP="00070D19">
      <w:pPr>
        <w:spacing w:after="0" w:line="240" w:lineRule="auto"/>
        <w:jc w:val="both"/>
        <w:rPr>
          <w:rFonts w:ascii="Times New Roman" w:hAnsi="Times New Roman" w:cs="Times New Roman"/>
          <w:b/>
        </w:rPr>
      </w:pPr>
      <w:r w:rsidRPr="00A33A28">
        <w:rPr>
          <w:rFonts w:ascii="Times New Roman" w:hAnsi="Times New Roman" w:cs="Times New Roman"/>
          <w:b/>
        </w:rPr>
        <w:t xml:space="preserve">Tabuľka 2.1.2 DTF skóre SR v hodnotení </w:t>
      </w:r>
      <w:proofErr w:type="spellStart"/>
      <w:r w:rsidRPr="00A33A28">
        <w:rPr>
          <w:rFonts w:ascii="Times New Roman" w:hAnsi="Times New Roman" w:cs="Times New Roman"/>
          <w:b/>
        </w:rPr>
        <w:t>Doing</w:t>
      </w:r>
      <w:proofErr w:type="spellEnd"/>
      <w:r w:rsidRPr="00A33A28">
        <w:rPr>
          <w:rFonts w:ascii="Times New Roman" w:hAnsi="Times New Roman" w:cs="Times New Roman"/>
          <w:b/>
        </w:rPr>
        <w:t xml:space="preserve"> Business v rokoch 2017 a 2018.</w:t>
      </w:r>
    </w:p>
    <w:tbl>
      <w:tblPr>
        <w:tblStyle w:val="Mriekatabuky"/>
        <w:tblW w:w="6722" w:type="dxa"/>
        <w:tblLayout w:type="fixed"/>
        <w:tblLook w:val="04A0" w:firstRow="1" w:lastRow="0" w:firstColumn="1" w:lastColumn="0" w:noHBand="0" w:noVBand="1"/>
      </w:tblPr>
      <w:tblGrid>
        <w:gridCol w:w="2943"/>
        <w:gridCol w:w="1275"/>
        <w:gridCol w:w="1276"/>
        <w:gridCol w:w="1228"/>
      </w:tblGrid>
      <w:tr w:rsidR="00070D19" w:rsidRPr="00A33A28" w14:paraId="45852256" w14:textId="77777777" w:rsidTr="00653141">
        <w:trPr>
          <w:trHeight w:val="690"/>
        </w:trPr>
        <w:tc>
          <w:tcPr>
            <w:tcW w:w="2943" w:type="dxa"/>
            <w:shd w:val="clear" w:color="auto" w:fill="4F81BD" w:themeFill="accent1"/>
            <w:vAlign w:val="center"/>
            <w:hideMark/>
          </w:tcPr>
          <w:p w14:paraId="1193D710" w14:textId="77777777" w:rsidR="00070D19" w:rsidRPr="00A33A28" w:rsidRDefault="00070D19" w:rsidP="00653141">
            <w:pPr>
              <w:jc w:val="center"/>
              <w:rPr>
                <w:rFonts w:ascii="Times New Roman" w:hAnsi="Times New Roman" w:cs="Times New Roman"/>
                <w:b/>
                <w:sz w:val="20"/>
                <w:szCs w:val="20"/>
              </w:rPr>
            </w:pPr>
          </w:p>
        </w:tc>
        <w:tc>
          <w:tcPr>
            <w:tcW w:w="1275" w:type="dxa"/>
            <w:shd w:val="clear" w:color="auto" w:fill="4F81BD" w:themeFill="accent1"/>
            <w:vAlign w:val="center"/>
            <w:hideMark/>
          </w:tcPr>
          <w:p w14:paraId="6FAE34CF" w14:textId="77777777" w:rsidR="00070D19" w:rsidRPr="00A33A28" w:rsidRDefault="00070D19" w:rsidP="00653141">
            <w:pPr>
              <w:jc w:val="center"/>
              <w:rPr>
                <w:rFonts w:ascii="Times New Roman" w:hAnsi="Times New Roman" w:cs="Times New Roman"/>
                <w:b/>
                <w:sz w:val="20"/>
                <w:szCs w:val="20"/>
              </w:rPr>
            </w:pPr>
            <w:r w:rsidRPr="00A33A28">
              <w:rPr>
                <w:rFonts w:ascii="Times New Roman" w:hAnsi="Times New Roman" w:cs="Times New Roman"/>
                <w:b/>
                <w:sz w:val="20"/>
                <w:szCs w:val="20"/>
              </w:rPr>
              <w:t xml:space="preserve">DB 2018 DTF </w:t>
            </w:r>
            <w:r w:rsidRPr="00A33A28">
              <w:rPr>
                <w:rFonts w:ascii="Times New Roman" w:hAnsi="Times New Roman" w:cs="Times New Roman"/>
                <w:b/>
                <w:sz w:val="20"/>
                <w:szCs w:val="20"/>
              </w:rPr>
              <w:br/>
              <w:t>(0-100)</w:t>
            </w:r>
          </w:p>
        </w:tc>
        <w:tc>
          <w:tcPr>
            <w:tcW w:w="1276" w:type="dxa"/>
            <w:shd w:val="clear" w:color="auto" w:fill="4F81BD" w:themeFill="accent1"/>
            <w:vAlign w:val="center"/>
            <w:hideMark/>
          </w:tcPr>
          <w:p w14:paraId="092CEBA7" w14:textId="77777777" w:rsidR="00070D19" w:rsidRPr="00A33A28" w:rsidRDefault="00070D19" w:rsidP="00653141">
            <w:pPr>
              <w:jc w:val="center"/>
              <w:rPr>
                <w:rFonts w:ascii="Times New Roman" w:hAnsi="Times New Roman" w:cs="Times New Roman"/>
                <w:b/>
                <w:sz w:val="20"/>
                <w:szCs w:val="20"/>
              </w:rPr>
            </w:pPr>
            <w:r w:rsidRPr="00A33A28">
              <w:rPr>
                <w:rFonts w:ascii="Times New Roman" w:hAnsi="Times New Roman" w:cs="Times New Roman"/>
                <w:b/>
                <w:sz w:val="20"/>
                <w:szCs w:val="20"/>
              </w:rPr>
              <w:t xml:space="preserve">DB 2017 DTF </w:t>
            </w:r>
            <w:r w:rsidRPr="00A33A28">
              <w:rPr>
                <w:rFonts w:ascii="Times New Roman" w:hAnsi="Times New Roman" w:cs="Times New Roman"/>
                <w:b/>
                <w:sz w:val="20"/>
                <w:szCs w:val="20"/>
              </w:rPr>
              <w:br/>
              <w:t>(0-100)</w:t>
            </w:r>
          </w:p>
        </w:tc>
        <w:tc>
          <w:tcPr>
            <w:tcW w:w="1228" w:type="dxa"/>
            <w:shd w:val="clear" w:color="auto" w:fill="4F81BD" w:themeFill="accent1"/>
            <w:vAlign w:val="center"/>
            <w:hideMark/>
          </w:tcPr>
          <w:p w14:paraId="1B59224A" w14:textId="77777777" w:rsidR="00070D19" w:rsidRPr="00A33A28" w:rsidRDefault="00070D19" w:rsidP="00653141">
            <w:pPr>
              <w:jc w:val="center"/>
              <w:rPr>
                <w:rFonts w:ascii="Times New Roman" w:hAnsi="Times New Roman" w:cs="Times New Roman"/>
                <w:b/>
                <w:sz w:val="20"/>
                <w:szCs w:val="20"/>
              </w:rPr>
            </w:pPr>
            <w:r w:rsidRPr="00A33A28">
              <w:rPr>
                <w:rFonts w:ascii="Times New Roman" w:hAnsi="Times New Roman" w:cs="Times New Roman"/>
                <w:b/>
                <w:sz w:val="20"/>
                <w:szCs w:val="20"/>
              </w:rPr>
              <w:t>Change in DTF</w:t>
            </w:r>
          </w:p>
        </w:tc>
      </w:tr>
      <w:tr w:rsidR="00070D19" w:rsidRPr="00A33A28" w14:paraId="701136B4" w14:textId="77777777" w:rsidTr="00653141">
        <w:trPr>
          <w:trHeight w:val="192"/>
        </w:trPr>
        <w:tc>
          <w:tcPr>
            <w:tcW w:w="2943" w:type="dxa"/>
            <w:hideMark/>
          </w:tcPr>
          <w:p w14:paraId="1F831296"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Začatie podnikania</w:t>
            </w:r>
          </w:p>
        </w:tc>
        <w:tc>
          <w:tcPr>
            <w:tcW w:w="1275" w:type="dxa"/>
            <w:vAlign w:val="center"/>
          </w:tcPr>
          <w:p w14:paraId="026CDA10"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86,95</w:t>
            </w:r>
          </w:p>
        </w:tc>
        <w:tc>
          <w:tcPr>
            <w:tcW w:w="1276" w:type="dxa"/>
            <w:vAlign w:val="center"/>
            <w:hideMark/>
          </w:tcPr>
          <w:p w14:paraId="24F65BED"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86,90</w:t>
            </w:r>
          </w:p>
        </w:tc>
        <w:tc>
          <w:tcPr>
            <w:tcW w:w="1228" w:type="dxa"/>
            <w:vAlign w:val="center"/>
            <w:hideMark/>
          </w:tcPr>
          <w:p w14:paraId="1A314AD9"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noProof/>
                <w:sz w:val="20"/>
                <w:szCs w:val="20"/>
                <w:lang w:eastAsia="sk-SK"/>
              </w:rPr>
              <w:drawing>
                <wp:inline distT="0" distB="0" distL="0" distR="0" wp14:anchorId="58660FE9" wp14:editId="5E7D35E9">
                  <wp:extent cx="104775" cy="123825"/>
                  <wp:effectExtent l="0" t="0" r="9525" b="9525"/>
                  <wp:docPr id="4" name="Obrázok 4" descr="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up"/>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A33A28">
              <w:rPr>
                <w:rFonts w:ascii="Times New Roman" w:hAnsi="Times New Roman" w:cs="Times New Roman"/>
                <w:sz w:val="20"/>
                <w:szCs w:val="20"/>
              </w:rPr>
              <w:t>0,05</w:t>
            </w:r>
          </w:p>
        </w:tc>
      </w:tr>
      <w:tr w:rsidR="00070D19" w:rsidRPr="00A33A28" w14:paraId="4FE6B1E2" w14:textId="77777777" w:rsidTr="00653141">
        <w:trPr>
          <w:trHeight w:val="210"/>
        </w:trPr>
        <w:tc>
          <w:tcPr>
            <w:tcW w:w="2943" w:type="dxa"/>
            <w:hideMark/>
          </w:tcPr>
          <w:p w14:paraId="5F6C895B"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Získavanie stavebných povolení</w:t>
            </w:r>
          </w:p>
        </w:tc>
        <w:tc>
          <w:tcPr>
            <w:tcW w:w="1275" w:type="dxa"/>
            <w:vAlign w:val="center"/>
          </w:tcPr>
          <w:p w14:paraId="61DE4C89"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67,82</w:t>
            </w:r>
          </w:p>
        </w:tc>
        <w:tc>
          <w:tcPr>
            <w:tcW w:w="1276" w:type="dxa"/>
            <w:vAlign w:val="center"/>
            <w:hideMark/>
          </w:tcPr>
          <w:p w14:paraId="282B13DD"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67,82</w:t>
            </w:r>
          </w:p>
        </w:tc>
        <w:tc>
          <w:tcPr>
            <w:tcW w:w="1228" w:type="dxa"/>
            <w:vAlign w:val="center"/>
            <w:hideMark/>
          </w:tcPr>
          <w:p w14:paraId="17A5D4F0"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w:t>
            </w:r>
          </w:p>
        </w:tc>
      </w:tr>
      <w:tr w:rsidR="00070D19" w:rsidRPr="00A33A28" w14:paraId="48E9BD5D" w14:textId="77777777" w:rsidTr="00653141">
        <w:trPr>
          <w:trHeight w:val="100"/>
        </w:trPr>
        <w:tc>
          <w:tcPr>
            <w:tcW w:w="2943" w:type="dxa"/>
            <w:hideMark/>
          </w:tcPr>
          <w:p w14:paraId="60431BDE"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Prístup k elektrickej energii</w:t>
            </w:r>
          </w:p>
        </w:tc>
        <w:tc>
          <w:tcPr>
            <w:tcW w:w="1275" w:type="dxa"/>
            <w:vAlign w:val="center"/>
          </w:tcPr>
          <w:p w14:paraId="0990FBA7"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80,31</w:t>
            </w:r>
          </w:p>
        </w:tc>
        <w:tc>
          <w:tcPr>
            <w:tcW w:w="1276" w:type="dxa"/>
            <w:vAlign w:val="center"/>
            <w:hideMark/>
          </w:tcPr>
          <w:p w14:paraId="1A12EDA4"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80,31</w:t>
            </w:r>
          </w:p>
        </w:tc>
        <w:tc>
          <w:tcPr>
            <w:tcW w:w="1228" w:type="dxa"/>
            <w:vAlign w:val="center"/>
            <w:hideMark/>
          </w:tcPr>
          <w:p w14:paraId="63337A5A"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w:t>
            </w:r>
          </w:p>
        </w:tc>
      </w:tr>
      <w:tr w:rsidR="00070D19" w:rsidRPr="00A33A28" w14:paraId="6A9C3FD3" w14:textId="77777777" w:rsidTr="00653141">
        <w:trPr>
          <w:trHeight w:val="260"/>
        </w:trPr>
        <w:tc>
          <w:tcPr>
            <w:tcW w:w="2943" w:type="dxa"/>
            <w:hideMark/>
          </w:tcPr>
          <w:p w14:paraId="4A127D7D"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Registrácia majetku</w:t>
            </w:r>
          </w:p>
        </w:tc>
        <w:tc>
          <w:tcPr>
            <w:tcW w:w="1275" w:type="dxa"/>
            <w:vAlign w:val="center"/>
          </w:tcPr>
          <w:p w14:paraId="4265030B"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91,00</w:t>
            </w:r>
          </w:p>
        </w:tc>
        <w:tc>
          <w:tcPr>
            <w:tcW w:w="1276" w:type="dxa"/>
            <w:vAlign w:val="center"/>
            <w:hideMark/>
          </w:tcPr>
          <w:p w14:paraId="3832A6A5"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91,00</w:t>
            </w:r>
          </w:p>
        </w:tc>
        <w:tc>
          <w:tcPr>
            <w:tcW w:w="1228" w:type="dxa"/>
            <w:vAlign w:val="center"/>
            <w:hideMark/>
          </w:tcPr>
          <w:p w14:paraId="0A2FE621"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w:t>
            </w:r>
          </w:p>
        </w:tc>
      </w:tr>
      <w:tr w:rsidR="00070D19" w:rsidRPr="00A33A28" w14:paraId="218E1DBD" w14:textId="77777777" w:rsidTr="00653141">
        <w:trPr>
          <w:trHeight w:val="151"/>
        </w:trPr>
        <w:tc>
          <w:tcPr>
            <w:tcW w:w="2943" w:type="dxa"/>
            <w:hideMark/>
          </w:tcPr>
          <w:p w14:paraId="07497891"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Získanie úveru</w:t>
            </w:r>
          </w:p>
        </w:tc>
        <w:tc>
          <w:tcPr>
            <w:tcW w:w="1275" w:type="dxa"/>
            <w:vAlign w:val="center"/>
          </w:tcPr>
          <w:p w14:paraId="28A31045"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65,00</w:t>
            </w:r>
          </w:p>
        </w:tc>
        <w:tc>
          <w:tcPr>
            <w:tcW w:w="1276" w:type="dxa"/>
            <w:vAlign w:val="center"/>
            <w:hideMark/>
          </w:tcPr>
          <w:p w14:paraId="12B3E662"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65,00</w:t>
            </w:r>
          </w:p>
        </w:tc>
        <w:tc>
          <w:tcPr>
            <w:tcW w:w="1228" w:type="dxa"/>
            <w:vAlign w:val="center"/>
            <w:hideMark/>
          </w:tcPr>
          <w:p w14:paraId="1A9A03BD"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w:t>
            </w:r>
          </w:p>
        </w:tc>
      </w:tr>
      <w:tr w:rsidR="00070D19" w:rsidRPr="00A33A28" w14:paraId="3F4EB9A9" w14:textId="77777777" w:rsidTr="00653141">
        <w:trPr>
          <w:trHeight w:val="70"/>
        </w:trPr>
        <w:tc>
          <w:tcPr>
            <w:tcW w:w="2943" w:type="dxa"/>
            <w:hideMark/>
          </w:tcPr>
          <w:p w14:paraId="6417985A"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Ochrana minoritných investorov</w:t>
            </w:r>
          </w:p>
        </w:tc>
        <w:tc>
          <w:tcPr>
            <w:tcW w:w="1275" w:type="dxa"/>
            <w:vAlign w:val="center"/>
          </w:tcPr>
          <w:p w14:paraId="783C937A"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53,33</w:t>
            </w:r>
          </w:p>
        </w:tc>
        <w:tc>
          <w:tcPr>
            <w:tcW w:w="1276" w:type="dxa"/>
            <w:vAlign w:val="center"/>
            <w:hideMark/>
          </w:tcPr>
          <w:p w14:paraId="46F2A6E8"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53,33</w:t>
            </w:r>
          </w:p>
        </w:tc>
        <w:tc>
          <w:tcPr>
            <w:tcW w:w="1228" w:type="dxa"/>
            <w:vAlign w:val="center"/>
            <w:hideMark/>
          </w:tcPr>
          <w:p w14:paraId="65F9E839"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w:t>
            </w:r>
          </w:p>
        </w:tc>
      </w:tr>
      <w:tr w:rsidR="00070D19" w:rsidRPr="00A33A28" w14:paraId="10FB1F1D" w14:textId="77777777" w:rsidTr="00653141">
        <w:trPr>
          <w:trHeight w:val="70"/>
        </w:trPr>
        <w:tc>
          <w:tcPr>
            <w:tcW w:w="2943" w:type="dxa"/>
            <w:hideMark/>
          </w:tcPr>
          <w:p w14:paraId="4A3551E6"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Daňové povinnosti firiem</w:t>
            </w:r>
          </w:p>
        </w:tc>
        <w:tc>
          <w:tcPr>
            <w:tcW w:w="1275" w:type="dxa"/>
            <w:vAlign w:val="center"/>
          </w:tcPr>
          <w:p w14:paraId="7A93C5A9"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79,88</w:t>
            </w:r>
          </w:p>
        </w:tc>
        <w:tc>
          <w:tcPr>
            <w:tcW w:w="1276" w:type="dxa"/>
            <w:vAlign w:val="center"/>
            <w:hideMark/>
          </w:tcPr>
          <w:p w14:paraId="1212CDD2"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79,88</w:t>
            </w:r>
          </w:p>
        </w:tc>
        <w:tc>
          <w:tcPr>
            <w:tcW w:w="1228" w:type="dxa"/>
            <w:vAlign w:val="center"/>
            <w:hideMark/>
          </w:tcPr>
          <w:p w14:paraId="766EBAA4"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w:t>
            </w:r>
          </w:p>
        </w:tc>
      </w:tr>
      <w:tr w:rsidR="00070D19" w:rsidRPr="00A33A28" w14:paraId="5D413B39" w14:textId="77777777" w:rsidTr="00653141">
        <w:trPr>
          <w:trHeight w:val="232"/>
        </w:trPr>
        <w:tc>
          <w:tcPr>
            <w:tcW w:w="2943" w:type="dxa"/>
            <w:hideMark/>
          </w:tcPr>
          <w:p w14:paraId="0CE566FE"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Cezhraničné obchodovanie</w:t>
            </w:r>
          </w:p>
        </w:tc>
        <w:tc>
          <w:tcPr>
            <w:tcW w:w="1275" w:type="dxa"/>
            <w:vAlign w:val="center"/>
          </w:tcPr>
          <w:p w14:paraId="57ACCE60"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100,00</w:t>
            </w:r>
          </w:p>
        </w:tc>
        <w:tc>
          <w:tcPr>
            <w:tcW w:w="1276" w:type="dxa"/>
            <w:vAlign w:val="center"/>
            <w:hideMark/>
          </w:tcPr>
          <w:p w14:paraId="1B762A3E"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100,00</w:t>
            </w:r>
          </w:p>
        </w:tc>
        <w:tc>
          <w:tcPr>
            <w:tcW w:w="1228" w:type="dxa"/>
            <w:vAlign w:val="center"/>
            <w:hideMark/>
          </w:tcPr>
          <w:p w14:paraId="1F3F5F8C"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w:t>
            </w:r>
          </w:p>
        </w:tc>
      </w:tr>
      <w:tr w:rsidR="00070D19" w:rsidRPr="00A33A28" w14:paraId="46204959" w14:textId="77777777" w:rsidTr="00653141">
        <w:trPr>
          <w:trHeight w:val="123"/>
        </w:trPr>
        <w:tc>
          <w:tcPr>
            <w:tcW w:w="2943" w:type="dxa"/>
            <w:hideMark/>
          </w:tcPr>
          <w:p w14:paraId="2A89F0D8"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Vymáhateľnosť zmlúv</w:t>
            </w:r>
          </w:p>
        </w:tc>
        <w:tc>
          <w:tcPr>
            <w:tcW w:w="1275" w:type="dxa"/>
            <w:vAlign w:val="center"/>
          </w:tcPr>
          <w:p w14:paraId="08E960F8"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58,63</w:t>
            </w:r>
          </w:p>
        </w:tc>
        <w:tc>
          <w:tcPr>
            <w:tcW w:w="1276" w:type="dxa"/>
            <w:vAlign w:val="center"/>
            <w:hideMark/>
          </w:tcPr>
          <w:p w14:paraId="7C39BD0B"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56,78</w:t>
            </w:r>
          </w:p>
        </w:tc>
        <w:tc>
          <w:tcPr>
            <w:tcW w:w="1228" w:type="dxa"/>
            <w:vAlign w:val="center"/>
            <w:hideMark/>
          </w:tcPr>
          <w:p w14:paraId="4E163C9E"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noProof/>
                <w:sz w:val="20"/>
                <w:szCs w:val="20"/>
                <w:lang w:eastAsia="sk-SK"/>
              </w:rPr>
              <w:drawing>
                <wp:inline distT="0" distB="0" distL="0" distR="0" wp14:anchorId="048A0470" wp14:editId="3DD8F988">
                  <wp:extent cx="104775" cy="123825"/>
                  <wp:effectExtent l="0" t="0" r="9525" b="9525"/>
                  <wp:docPr id="9" name="Obrázok 9" descr="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up"/>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A33A28">
              <w:rPr>
                <w:rFonts w:ascii="Times New Roman" w:hAnsi="Times New Roman" w:cs="Times New Roman"/>
                <w:sz w:val="20"/>
                <w:szCs w:val="20"/>
              </w:rPr>
              <w:t xml:space="preserve"> 1,85</w:t>
            </w:r>
          </w:p>
        </w:tc>
      </w:tr>
      <w:tr w:rsidR="00070D19" w:rsidRPr="00A33A28" w14:paraId="422550D4" w14:textId="77777777" w:rsidTr="00653141">
        <w:trPr>
          <w:trHeight w:val="140"/>
        </w:trPr>
        <w:tc>
          <w:tcPr>
            <w:tcW w:w="2943" w:type="dxa"/>
            <w:hideMark/>
          </w:tcPr>
          <w:p w14:paraId="5FAAADE7"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Riešenie platobnej neschopnosti</w:t>
            </w:r>
          </w:p>
        </w:tc>
        <w:tc>
          <w:tcPr>
            <w:tcW w:w="1275" w:type="dxa"/>
            <w:vAlign w:val="center"/>
          </w:tcPr>
          <w:p w14:paraId="31DE5734"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66,08</w:t>
            </w:r>
          </w:p>
        </w:tc>
        <w:tc>
          <w:tcPr>
            <w:tcW w:w="1276" w:type="dxa"/>
            <w:vAlign w:val="center"/>
            <w:hideMark/>
          </w:tcPr>
          <w:p w14:paraId="39C42907"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70,53</w:t>
            </w:r>
          </w:p>
        </w:tc>
        <w:tc>
          <w:tcPr>
            <w:tcW w:w="1228" w:type="dxa"/>
            <w:vAlign w:val="center"/>
            <w:hideMark/>
          </w:tcPr>
          <w:p w14:paraId="3566C1CB"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noProof/>
                <w:sz w:val="20"/>
                <w:szCs w:val="20"/>
                <w:lang w:eastAsia="sk-SK"/>
              </w:rPr>
              <w:drawing>
                <wp:inline distT="0" distB="0" distL="0" distR="0" wp14:anchorId="47E99CC4" wp14:editId="682FD42E">
                  <wp:extent cx="104775" cy="123825"/>
                  <wp:effectExtent l="0" t="0" r="9525" b="9525"/>
                  <wp:docPr id="24" name="Obrázok 24" descr="dow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wn"/>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A33A28">
              <w:rPr>
                <w:rFonts w:ascii="Times New Roman" w:hAnsi="Times New Roman" w:cs="Times New Roman"/>
                <w:sz w:val="20"/>
                <w:szCs w:val="20"/>
              </w:rPr>
              <w:t xml:space="preserve"> 4,45</w:t>
            </w:r>
          </w:p>
        </w:tc>
      </w:tr>
      <w:tr w:rsidR="00070D19" w:rsidRPr="00A33A28" w14:paraId="1FA6710C" w14:textId="77777777" w:rsidTr="00653141">
        <w:trPr>
          <w:trHeight w:val="140"/>
        </w:trPr>
        <w:tc>
          <w:tcPr>
            <w:tcW w:w="2943" w:type="dxa"/>
            <w:shd w:val="clear" w:color="auto" w:fill="4F81BD" w:themeFill="accent1"/>
          </w:tcPr>
          <w:p w14:paraId="2C9AA4D1"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b/>
                <w:sz w:val="20"/>
                <w:szCs w:val="20"/>
              </w:rPr>
              <w:t>Celkové umiestnenie SR</w:t>
            </w:r>
          </w:p>
        </w:tc>
        <w:tc>
          <w:tcPr>
            <w:tcW w:w="1275" w:type="dxa"/>
            <w:shd w:val="clear" w:color="auto" w:fill="4F81BD" w:themeFill="accent1"/>
            <w:vAlign w:val="center"/>
          </w:tcPr>
          <w:p w14:paraId="43B1AA8F" w14:textId="77777777" w:rsidR="00070D19" w:rsidRPr="00A33A28" w:rsidRDefault="00070D19" w:rsidP="00653141">
            <w:pPr>
              <w:jc w:val="center"/>
              <w:rPr>
                <w:rFonts w:ascii="Times New Roman" w:hAnsi="Times New Roman" w:cs="Times New Roman"/>
                <w:b/>
                <w:sz w:val="20"/>
                <w:szCs w:val="20"/>
              </w:rPr>
            </w:pPr>
            <w:r w:rsidRPr="00A33A28">
              <w:rPr>
                <w:rFonts w:ascii="Times New Roman" w:hAnsi="Times New Roman" w:cs="Times New Roman"/>
                <w:b/>
                <w:sz w:val="20"/>
                <w:szCs w:val="20"/>
              </w:rPr>
              <w:t>74,90</w:t>
            </w:r>
          </w:p>
        </w:tc>
        <w:tc>
          <w:tcPr>
            <w:tcW w:w="1276" w:type="dxa"/>
            <w:shd w:val="clear" w:color="auto" w:fill="4F81BD" w:themeFill="accent1"/>
            <w:vAlign w:val="center"/>
          </w:tcPr>
          <w:p w14:paraId="11E9187A" w14:textId="77777777" w:rsidR="00070D19" w:rsidRPr="00A33A28" w:rsidRDefault="00070D19" w:rsidP="00653141">
            <w:pPr>
              <w:jc w:val="center"/>
              <w:rPr>
                <w:rFonts w:ascii="Times New Roman" w:hAnsi="Times New Roman" w:cs="Times New Roman"/>
                <w:b/>
                <w:sz w:val="20"/>
                <w:szCs w:val="20"/>
              </w:rPr>
            </w:pPr>
            <w:r w:rsidRPr="00A33A28">
              <w:rPr>
                <w:rFonts w:ascii="Times New Roman" w:hAnsi="Times New Roman" w:cs="Times New Roman"/>
                <w:b/>
                <w:sz w:val="20"/>
                <w:szCs w:val="20"/>
              </w:rPr>
              <w:t>75,15</w:t>
            </w:r>
          </w:p>
        </w:tc>
        <w:tc>
          <w:tcPr>
            <w:tcW w:w="1228" w:type="dxa"/>
            <w:shd w:val="clear" w:color="auto" w:fill="4F81BD" w:themeFill="accent1"/>
            <w:vAlign w:val="center"/>
          </w:tcPr>
          <w:p w14:paraId="365CC2B5" w14:textId="77777777" w:rsidR="00070D19" w:rsidRPr="00A33A28" w:rsidRDefault="00070D19" w:rsidP="00653141">
            <w:pPr>
              <w:jc w:val="center"/>
              <w:rPr>
                <w:rFonts w:ascii="Times New Roman" w:hAnsi="Times New Roman" w:cs="Times New Roman"/>
                <w:b/>
                <w:sz w:val="20"/>
                <w:szCs w:val="20"/>
              </w:rPr>
            </w:pPr>
            <w:r w:rsidRPr="00A33A28">
              <w:rPr>
                <w:rFonts w:ascii="Times New Roman" w:hAnsi="Times New Roman" w:cs="Times New Roman"/>
                <w:b/>
                <w:noProof/>
                <w:sz w:val="20"/>
                <w:szCs w:val="20"/>
                <w:lang w:eastAsia="sk-SK"/>
              </w:rPr>
              <w:drawing>
                <wp:inline distT="0" distB="0" distL="0" distR="0" wp14:anchorId="0DEBE5C5" wp14:editId="2DDA701D">
                  <wp:extent cx="104775" cy="123825"/>
                  <wp:effectExtent l="0" t="0" r="9525" b="9525"/>
                  <wp:docPr id="13" name="Obrázok 13" descr="dow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wn"/>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A33A28">
              <w:rPr>
                <w:rFonts w:ascii="Times New Roman" w:hAnsi="Times New Roman" w:cs="Times New Roman"/>
                <w:b/>
                <w:sz w:val="20"/>
                <w:szCs w:val="20"/>
              </w:rPr>
              <w:t xml:space="preserve"> 0,25</w:t>
            </w:r>
          </w:p>
        </w:tc>
      </w:tr>
    </w:tbl>
    <w:p w14:paraId="4F4BA449" w14:textId="77777777" w:rsidR="00070D19" w:rsidRPr="00A33A28" w:rsidRDefault="00070D19" w:rsidP="00070D19">
      <w:pPr>
        <w:spacing w:after="0" w:line="240" w:lineRule="auto"/>
        <w:rPr>
          <w:rFonts w:ascii="Times New Roman" w:hAnsi="Times New Roman" w:cs="Times New Roman"/>
          <w:sz w:val="16"/>
          <w:szCs w:val="16"/>
        </w:rPr>
      </w:pPr>
      <w:r w:rsidRPr="00A33A28">
        <w:rPr>
          <w:rFonts w:ascii="Times New Roman" w:hAnsi="Times New Roman" w:cs="Times New Roman"/>
          <w:sz w:val="16"/>
          <w:szCs w:val="16"/>
        </w:rPr>
        <w:t>Zdroj: Svetová banka</w:t>
      </w:r>
    </w:p>
    <w:p w14:paraId="23EA76F0" w14:textId="77777777" w:rsidR="00070D19" w:rsidRPr="00A33A28" w:rsidRDefault="00070D19" w:rsidP="00070D19">
      <w:pPr>
        <w:spacing w:after="0" w:line="240" w:lineRule="auto"/>
        <w:ind w:firstLine="708"/>
        <w:jc w:val="both"/>
        <w:rPr>
          <w:rFonts w:ascii="Times New Roman" w:hAnsi="Times New Roman" w:cs="Times New Roman"/>
          <w:sz w:val="24"/>
          <w:szCs w:val="24"/>
        </w:rPr>
      </w:pPr>
    </w:p>
    <w:p w14:paraId="74E196AC" w14:textId="77777777" w:rsidR="00070D19" w:rsidRPr="00A33A28" w:rsidRDefault="00070D19" w:rsidP="00070D19">
      <w:pPr>
        <w:spacing w:after="0" w:line="240" w:lineRule="auto"/>
        <w:ind w:firstLine="708"/>
        <w:jc w:val="both"/>
        <w:rPr>
          <w:rFonts w:ascii="Times New Roman" w:hAnsi="Times New Roman" w:cs="Times New Roman"/>
          <w:sz w:val="24"/>
          <w:szCs w:val="24"/>
        </w:rPr>
      </w:pPr>
      <w:r w:rsidRPr="00A33A28">
        <w:rPr>
          <w:rFonts w:ascii="Times New Roman" w:hAnsi="Times New Roman" w:cs="Times New Roman"/>
          <w:sz w:val="24"/>
          <w:szCs w:val="24"/>
        </w:rPr>
        <w:t xml:space="preserve">V rámci rebríčka </w:t>
      </w:r>
      <w:proofErr w:type="spellStart"/>
      <w:r w:rsidRPr="00A33A28">
        <w:rPr>
          <w:rFonts w:ascii="Times New Roman" w:hAnsi="Times New Roman" w:cs="Times New Roman"/>
          <w:sz w:val="24"/>
          <w:szCs w:val="24"/>
        </w:rPr>
        <w:t>Doing</w:t>
      </w:r>
      <w:proofErr w:type="spellEnd"/>
      <w:r w:rsidRPr="00A33A28">
        <w:rPr>
          <w:rFonts w:ascii="Times New Roman" w:hAnsi="Times New Roman" w:cs="Times New Roman"/>
          <w:sz w:val="24"/>
          <w:szCs w:val="24"/>
        </w:rPr>
        <w:t xml:space="preserve"> Business sa pri každom z indikátorov hodnotia vybrané aspekty danej oblasti podnikania. Nie každé opatrenie, ktoré bolo prijaté s cieľom zlepšiť podnikateľské prostredie v SR, má reálny vplyv na následné postavenie SR v hodnotení </w:t>
      </w:r>
      <w:proofErr w:type="spellStart"/>
      <w:r w:rsidRPr="00A33A28">
        <w:rPr>
          <w:rFonts w:ascii="Times New Roman" w:hAnsi="Times New Roman" w:cs="Times New Roman"/>
          <w:sz w:val="24"/>
          <w:szCs w:val="24"/>
        </w:rPr>
        <w:t>Doing</w:t>
      </w:r>
      <w:proofErr w:type="spellEnd"/>
      <w:r w:rsidRPr="00A33A28">
        <w:rPr>
          <w:rFonts w:ascii="Times New Roman" w:hAnsi="Times New Roman" w:cs="Times New Roman"/>
          <w:sz w:val="24"/>
          <w:szCs w:val="24"/>
        </w:rPr>
        <w:t xml:space="preserve"> Business. Keďže Svetová banka hodnotí iba vybrané indikátory, rebríček komplexne nevystihuje celkovú kvalitu podnikateľského prostredia.</w:t>
      </w:r>
    </w:p>
    <w:p w14:paraId="0D5E3B40" w14:textId="77777777" w:rsidR="00070D19" w:rsidRPr="00A33A28" w:rsidRDefault="00070D19" w:rsidP="00070D19">
      <w:pPr>
        <w:spacing w:after="0" w:line="240" w:lineRule="auto"/>
        <w:ind w:firstLine="708"/>
        <w:jc w:val="both"/>
        <w:rPr>
          <w:rFonts w:ascii="Times New Roman" w:hAnsi="Times New Roman" w:cs="Times New Roman"/>
          <w:sz w:val="24"/>
          <w:szCs w:val="24"/>
        </w:rPr>
      </w:pPr>
      <w:r w:rsidRPr="00A33A28">
        <w:rPr>
          <w:rFonts w:ascii="Times New Roman" w:hAnsi="Times New Roman" w:cs="Times New Roman"/>
          <w:sz w:val="24"/>
          <w:szCs w:val="24"/>
        </w:rPr>
        <w:t xml:space="preserve">SR sa umiestnila v hodnotení </w:t>
      </w:r>
      <w:proofErr w:type="spellStart"/>
      <w:r w:rsidRPr="00A33A28">
        <w:rPr>
          <w:rFonts w:ascii="Times New Roman" w:hAnsi="Times New Roman" w:cs="Times New Roman"/>
          <w:sz w:val="24"/>
          <w:szCs w:val="24"/>
        </w:rPr>
        <w:t>Doing</w:t>
      </w:r>
      <w:proofErr w:type="spellEnd"/>
      <w:r w:rsidRPr="00A33A28">
        <w:rPr>
          <w:rFonts w:ascii="Times New Roman" w:hAnsi="Times New Roman" w:cs="Times New Roman"/>
          <w:sz w:val="24"/>
          <w:szCs w:val="24"/>
        </w:rPr>
        <w:t xml:space="preserve"> Business 2018 na 39. mieste spomedzi </w:t>
      </w:r>
      <w:r w:rsidRPr="00A33A28">
        <w:rPr>
          <w:rFonts w:ascii="Times New Roman" w:hAnsi="Times New Roman" w:cs="Times New Roman"/>
          <w:sz w:val="24"/>
          <w:szCs w:val="24"/>
        </w:rPr>
        <w:br/>
        <w:t xml:space="preserve">190 hodnotených ekonomík. V porovnaní s hodnotením </w:t>
      </w:r>
      <w:proofErr w:type="spellStart"/>
      <w:r w:rsidRPr="00A33A28">
        <w:rPr>
          <w:rFonts w:ascii="Times New Roman" w:hAnsi="Times New Roman" w:cs="Times New Roman"/>
          <w:sz w:val="24"/>
          <w:szCs w:val="24"/>
        </w:rPr>
        <w:t>Doing</w:t>
      </w:r>
      <w:proofErr w:type="spellEnd"/>
      <w:r w:rsidRPr="00A33A28">
        <w:rPr>
          <w:rFonts w:ascii="Times New Roman" w:hAnsi="Times New Roman" w:cs="Times New Roman"/>
          <w:sz w:val="24"/>
          <w:szCs w:val="24"/>
        </w:rPr>
        <w:t xml:space="preserve"> Business 2017 SR kleslo </w:t>
      </w:r>
      <w:r w:rsidRPr="00A33A28">
        <w:rPr>
          <w:rFonts w:ascii="Times New Roman" w:hAnsi="Times New Roman" w:cs="Times New Roman"/>
          <w:sz w:val="24"/>
          <w:szCs w:val="24"/>
        </w:rPr>
        <w:br/>
        <w:t>o 6 pozícií. V rámci EÚ si SR obhájilo v rebríčku 18. pozíciu. Ide o mierne zhoršenie z hľadiska bodového hodnotenia predstavujúce vzdialenosť od hraničného bodu (tzv. „</w:t>
      </w:r>
      <w:proofErr w:type="spellStart"/>
      <w:r w:rsidRPr="00A33A28">
        <w:rPr>
          <w:rFonts w:ascii="Times New Roman" w:hAnsi="Times New Roman" w:cs="Times New Roman"/>
          <w:sz w:val="24"/>
          <w:szCs w:val="24"/>
        </w:rPr>
        <w:t>Distance</w:t>
      </w:r>
      <w:proofErr w:type="spellEnd"/>
      <w:r w:rsidRPr="00A33A28">
        <w:rPr>
          <w:rFonts w:ascii="Times New Roman" w:hAnsi="Times New Roman" w:cs="Times New Roman"/>
          <w:sz w:val="24"/>
          <w:szCs w:val="24"/>
        </w:rPr>
        <w:t xml:space="preserve"> to </w:t>
      </w:r>
      <w:proofErr w:type="spellStart"/>
      <w:r w:rsidRPr="00A33A28">
        <w:rPr>
          <w:rFonts w:ascii="Times New Roman" w:hAnsi="Times New Roman" w:cs="Times New Roman"/>
          <w:sz w:val="24"/>
          <w:szCs w:val="24"/>
        </w:rPr>
        <w:t>Frontier</w:t>
      </w:r>
      <w:proofErr w:type="spellEnd"/>
      <w:r w:rsidRPr="00A33A28">
        <w:rPr>
          <w:rFonts w:ascii="Times New Roman" w:hAnsi="Times New Roman" w:cs="Times New Roman"/>
          <w:sz w:val="24"/>
          <w:szCs w:val="24"/>
        </w:rPr>
        <w:t xml:space="preserve"> </w:t>
      </w:r>
      <w:proofErr w:type="spellStart"/>
      <w:r w:rsidRPr="00A33A28">
        <w:rPr>
          <w:rFonts w:ascii="Times New Roman" w:hAnsi="Times New Roman" w:cs="Times New Roman"/>
          <w:sz w:val="24"/>
          <w:szCs w:val="24"/>
        </w:rPr>
        <w:t>score</w:t>
      </w:r>
      <w:proofErr w:type="spellEnd"/>
      <w:r w:rsidRPr="00A33A28">
        <w:rPr>
          <w:rFonts w:ascii="Times New Roman" w:hAnsi="Times New Roman" w:cs="Times New Roman"/>
          <w:sz w:val="24"/>
          <w:szCs w:val="24"/>
        </w:rPr>
        <w:t xml:space="preserve">“), o 0,25 bodu, a teda skóre pre rok 2018 je 74,90 bodov. Celkové zhoršenie postavenia SR je spôsobené najmä zhoršením indikátora riešenie platobnej neschopnosti (pokles bodového </w:t>
      </w:r>
      <w:r w:rsidRPr="00A33A28">
        <w:rPr>
          <w:rFonts w:ascii="Times New Roman" w:hAnsi="Times New Roman" w:cs="Times New Roman"/>
          <w:sz w:val="24"/>
          <w:szCs w:val="24"/>
        </w:rPr>
        <w:lastRenderedPageBreak/>
        <w:t>hodnotenia o 4,45 bodu), ktoré je v gescii MS SR. Najhoršiu pozíciu dosahuje SR v indikátore získavanie stavebných povolení v gescii MDV SR aj napriek tohtoročnému zlepšeniu relatívneho umiestnenia.</w:t>
      </w:r>
    </w:p>
    <w:p w14:paraId="7313B5FA" w14:textId="77777777" w:rsidR="00070D19" w:rsidRPr="00A33A28" w:rsidRDefault="00070D19" w:rsidP="00070D19">
      <w:pPr>
        <w:spacing w:after="0" w:line="240" w:lineRule="auto"/>
        <w:ind w:firstLine="708"/>
        <w:jc w:val="both"/>
        <w:rPr>
          <w:rFonts w:ascii="Times New Roman" w:hAnsi="Times New Roman" w:cs="Times New Roman"/>
          <w:sz w:val="24"/>
          <w:szCs w:val="24"/>
        </w:rPr>
      </w:pPr>
      <w:r w:rsidRPr="00A33A28">
        <w:rPr>
          <w:rFonts w:ascii="Times New Roman" w:hAnsi="Times New Roman" w:cs="Times New Roman"/>
          <w:sz w:val="24"/>
          <w:szCs w:val="24"/>
        </w:rPr>
        <w:t xml:space="preserve">V rámci regiónu V4 sa SR opätovne umiestnila na treťom mieste. Všetky štyri krajiny zaznamenali v ostatnom hodnotení mierny pokles: Poľsko sa posunulo z 24. priečky </w:t>
      </w:r>
      <w:r w:rsidRPr="00A33A28">
        <w:rPr>
          <w:rFonts w:ascii="Times New Roman" w:hAnsi="Times New Roman" w:cs="Times New Roman"/>
          <w:sz w:val="24"/>
          <w:szCs w:val="24"/>
        </w:rPr>
        <w:br/>
        <w:t xml:space="preserve">na 27. priečku, Česká republika poklesla o 3 priečky na 30. miesto a Maďarsko pokleslo </w:t>
      </w:r>
      <w:r w:rsidRPr="00A33A28">
        <w:rPr>
          <w:rFonts w:ascii="Times New Roman" w:hAnsi="Times New Roman" w:cs="Times New Roman"/>
          <w:sz w:val="24"/>
          <w:szCs w:val="24"/>
        </w:rPr>
        <w:br/>
        <w:t>o 7 priečok a umiestnilo sa na 48. mieste.</w:t>
      </w:r>
    </w:p>
    <w:p w14:paraId="56392CB5" w14:textId="77777777" w:rsidR="00070D19" w:rsidRPr="00A33A28" w:rsidRDefault="00070D19" w:rsidP="00070D19">
      <w:pPr>
        <w:spacing w:after="0" w:line="240" w:lineRule="auto"/>
        <w:jc w:val="both"/>
        <w:rPr>
          <w:rFonts w:ascii="Times New Roman" w:hAnsi="Times New Roman" w:cs="Times New Roman"/>
          <w:sz w:val="24"/>
          <w:szCs w:val="24"/>
        </w:rPr>
      </w:pPr>
    </w:p>
    <w:p w14:paraId="6A750361" w14:textId="77777777" w:rsidR="00070D19" w:rsidRPr="00A33A28" w:rsidRDefault="00070D19" w:rsidP="00070D19">
      <w:pPr>
        <w:spacing w:after="0" w:line="240" w:lineRule="auto"/>
        <w:jc w:val="both"/>
        <w:rPr>
          <w:rFonts w:ascii="Times New Roman" w:hAnsi="Times New Roman" w:cs="Times New Roman"/>
          <w:sz w:val="24"/>
          <w:szCs w:val="24"/>
        </w:rPr>
      </w:pPr>
      <w:r w:rsidRPr="00A33A28">
        <w:rPr>
          <w:rFonts w:ascii="Times New Roman" w:hAnsi="Times New Roman" w:cs="Times New Roman"/>
          <w:sz w:val="24"/>
          <w:szCs w:val="24"/>
        </w:rPr>
        <w:t>Ako vysvetlenie poklesu v rámci hodnotenia možno uviesť nasledujúce dôvody:</w:t>
      </w:r>
    </w:p>
    <w:p w14:paraId="260F8219" w14:textId="77777777" w:rsidR="00070D19" w:rsidRPr="00A33A28" w:rsidRDefault="00070D19" w:rsidP="00070D19">
      <w:pPr>
        <w:numPr>
          <w:ilvl w:val="0"/>
          <w:numId w:val="3"/>
        </w:numPr>
        <w:spacing w:after="0" w:line="240" w:lineRule="auto"/>
        <w:contextualSpacing/>
        <w:jc w:val="both"/>
        <w:rPr>
          <w:rFonts w:ascii="Times New Roman" w:hAnsi="Times New Roman" w:cs="Times New Roman"/>
          <w:b/>
          <w:sz w:val="24"/>
          <w:szCs w:val="24"/>
        </w:rPr>
      </w:pPr>
      <w:r w:rsidRPr="00A33A28">
        <w:rPr>
          <w:rFonts w:ascii="Times New Roman" w:hAnsi="Times New Roman" w:cs="Times New Roman"/>
          <w:sz w:val="24"/>
          <w:szCs w:val="24"/>
        </w:rPr>
        <w:t>neuznanie (v niektorých prípadoch opakované) reforiem a zmien podmienok podnikania na Slovensku zo strany Svetovej banky, ktoré by s vysokou pravdepodobnosťou viedli k zlepšeniu postavenia SR v hodnotení,</w:t>
      </w:r>
    </w:p>
    <w:p w14:paraId="3BFEB51A" w14:textId="77777777" w:rsidR="00070D19" w:rsidRPr="00A33A28" w:rsidRDefault="00070D19" w:rsidP="00070D19">
      <w:pPr>
        <w:numPr>
          <w:ilvl w:val="0"/>
          <w:numId w:val="3"/>
        </w:numPr>
        <w:spacing w:after="0" w:line="240" w:lineRule="auto"/>
        <w:contextualSpacing/>
        <w:jc w:val="both"/>
        <w:rPr>
          <w:rFonts w:ascii="Times New Roman" w:hAnsi="Times New Roman" w:cs="Times New Roman"/>
          <w:b/>
          <w:sz w:val="24"/>
          <w:szCs w:val="24"/>
        </w:rPr>
      </w:pPr>
      <w:r w:rsidRPr="00A33A28">
        <w:rPr>
          <w:rFonts w:ascii="Times New Roman" w:hAnsi="Times New Roman" w:cs="Times New Roman"/>
          <w:sz w:val="24"/>
          <w:szCs w:val="24"/>
        </w:rPr>
        <w:t xml:space="preserve">nedostatočná informovanosť podnikateľov o možnostiach, ktoré im slovenský právny poriadok a verejné inštitúcie poskytujú: na základe doterajších skúseností je možné usudzovať, že Svetová banka pri vytváraní rebríčka berie do úvahy názory respondentov zo súkromnej sféry v rovnakej či dokonca väčšej miere ako názory respondentov zo štátnej správy, </w:t>
      </w:r>
    </w:p>
    <w:p w14:paraId="35766CE1" w14:textId="77777777" w:rsidR="00070D19" w:rsidRPr="00A33A28" w:rsidRDefault="00070D19" w:rsidP="00070D19">
      <w:pPr>
        <w:numPr>
          <w:ilvl w:val="0"/>
          <w:numId w:val="3"/>
        </w:numPr>
        <w:spacing w:after="0" w:line="240" w:lineRule="auto"/>
        <w:contextualSpacing/>
        <w:jc w:val="both"/>
        <w:rPr>
          <w:rFonts w:ascii="Times New Roman" w:hAnsi="Times New Roman" w:cs="Times New Roman"/>
          <w:sz w:val="24"/>
          <w:szCs w:val="24"/>
        </w:rPr>
      </w:pPr>
      <w:r w:rsidRPr="00A33A28">
        <w:rPr>
          <w:rFonts w:ascii="Times New Roman" w:hAnsi="Times New Roman" w:cs="Times New Roman"/>
          <w:sz w:val="24"/>
          <w:szCs w:val="24"/>
        </w:rPr>
        <w:t>zlepšenie podmienok podnikania v iných krajinách.</w:t>
      </w:r>
    </w:p>
    <w:p w14:paraId="1B3BC3B0" w14:textId="77777777" w:rsidR="00070D19" w:rsidRPr="00A33A28" w:rsidRDefault="00070D19" w:rsidP="00070D19">
      <w:pPr>
        <w:spacing w:after="0" w:line="240" w:lineRule="auto"/>
        <w:ind w:left="720"/>
        <w:contextualSpacing/>
        <w:jc w:val="both"/>
        <w:rPr>
          <w:rFonts w:ascii="Times New Roman" w:hAnsi="Times New Roman" w:cs="Times New Roman"/>
          <w:sz w:val="24"/>
          <w:szCs w:val="24"/>
        </w:rPr>
      </w:pPr>
    </w:p>
    <w:p w14:paraId="5ECF0982" w14:textId="77777777" w:rsidR="00070D19" w:rsidRPr="00A33A28" w:rsidRDefault="00070D19" w:rsidP="00070D19">
      <w:pPr>
        <w:spacing w:after="0" w:line="240" w:lineRule="auto"/>
        <w:ind w:firstLine="708"/>
        <w:jc w:val="both"/>
        <w:rPr>
          <w:rFonts w:ascii="Times New Roman" w:hAnsi="Times New Roman" w:cs="Times New Roman"/>
          <w:sz w:val="24"/>
          <w:szCs w:val="24"/>
        </w:rPr>
      </w:pPr>
      <w:r w:rsidRPr="00A33A28">
        <w:rPr>
          <w:rFonts w:ascii="Times New Roman" w:hAnsi="Times New Roman" w:cs="Times New Roman"/>
          <w:sz w:val="24"/>
          <w:szCs w:val="24"/>
        </w:rPr>
        <w:t>Zložitosť metodológie a zároveň veľmi špecificky definovaná prípadová štúdia alebo zameranie výlučne na ekonomické centrum krajiny – to všetko nedovoľuje tejto analýze poňať hodnotenie kvality podnikania komplexne a podať hodnovernú výpoveď o prostredí ako celku.</w:t>
      </w:r>
    </w:p>
    <w:p w14:paraId="47ACA082" w14:textId="77777777" w:rsidR="00070D19" w:rsidRPr="00A33A28" w:rsidRDefault="00070D19" w:rsidP="00070D19">
      <w:pPr>
        <w:spacing w:after="0" w:line="240" w:lineRule="auto"/>
        <w:ind w:firstLine="708"/>
        <w:jc w:val="both"/>
        <w:rPr>
          <w:rFonts w:ascii="Times New Roman" w:hAnsi="Times New Roman" w:cs="Times New Roman"/>
          <w:sz w:val="24"/>
          <w:szCs w:val="24"/>
        </w:rPr>
      </w:pPr>
      <w:r w:rsidRPr="00A33A28">
        <w:rPr>
          <w:rFonts w:ascii="Times New Roman" w:hAnsi="Times New Roman" w:cs="Times New Roman"/>
          <w:sz w:val="24"/>
          <w:szCs w:val="24"/>
        </w:rPr>
        <w:t xml:space="preserve">Snahou MH SR nie je len zlepšovanie pozície SR v medzinárodných hodnoteniach podnikateľského prostredia. Pre úspešný reformný proces sa štát musí pozerať na prostredie </w:t>
      </w:r>
      <w:r w:rsidRPr="00A33A28">
        <w:rPr>
          <w:rFonts w:ascii="Times New Roman" w:hAnsi="Times New Roman" w:cs="Times New Roman"/>
          <w:sz w:val="24"/>
          <w:szCs w:val="24"/>
        </w:rPr>
        <w:br/>
        <w:t>ako celok a prijímať systematické opatrenia. Práve z tohto dôvodu vzostup v tomto medzinárodnom hodnotení môže byť považovaný za veľmi žiadaný, no predovšetkým druhotný efekt úsilia vynaloženého štátom na zlepšenie podnikateľského prostredia. V tejto súvislosti sa vyžaduje aktívny prístup ústredných orgánov štátnej správy, ako aj zvýšený záujem riešiť podnikateľské prostredie systémovo.</w:t>
      </w:r>
    </w:p>
    <w:p w14:paraId="449684BA" w14:textId="77777777" w:rsidR="00070D19" w:rsidRPr="00A33A28" w:rsidRDefault="00070D19" w:rsidP="00070D19">
      <w:pPr>
        <w:spacing w:after="0" w:line="240" w:lineRule="auto"/>
        <w:ind w:firstLine="708"/>
        <w:jc w:val="both"/>
        <w:rPr>
          <w:rFonts w:ascii="Times New Roman" w:hAnsi="Times New Roman" w:cs="Times New Roman"/>
          <w:sz w:val="24"/>
          <w:szCs w:val="24"/>
        </w:rPr>
      </w:pPr>
    </w:p>
    <w:p w14:paraId="5D6EA3D1" w14:textId="77777777" w:rsidR="00070D19" w:rsidRPr="00A33A28" w:rsidRDefault="00070D19" w:rsidP="00070D19">
      <w:pPr>
        <w:spacing w:after="0" w:line="240" w:lineRule="auto"/>
        <w:ind w:firstLine="708"/>
        <w:jc w:val="both"/>
        <w:rPr>
          <w:rFonts w:ascii="Times New Roman" w:hAnsi="Times New Roman" w:cs="Times New Roman"/>
          <w:sz w:val="24"/>
          <w:szCs w:val="24"/>
        </w:rPr>
      </w:pPr>
      <w:r w:rsidRPr="00A33A28">
        <w:rPr>
          <w:rFonts w:ascii="Times New Roman" w:hAnsi="Times New Roman" w:cs="Times New Roman"/>
          <w:sz w:val="24"/>
          <w:szCs w:val="24"/>
        </w:rPr>
        <w:t xml:space="preserve">V nasledujúcej časti sú detailne popísané indikátory, pri ktorých došlo v hodnotení </w:t>
      </w:r>
      <w:proofErr w:type="spellStart"/>
      <w:r w:rsidRPr="00A33A28">
        <w:rPr>
          <w:rFonts w:ascii="Times New Roman" w:hAnsi="Times New Roman" w:cs="Times New Roman"/>
          <w:sz w:val="24"/>
          <w:szCs w:val="24"/>
        </w:rPr>
        <w:t>Doing</w:t>
      </w:r>
      <w:proofErr w:type="spellEnd"/>
      <w:r w:rsidRPr="00A33A28">
        <w:rPr>
          <w:rFonts w:ascii="Times New Roman" w:hAnsi="Times New Roman" w:cs="Times New Roman"/>
          <w:sz w:val="24"/>
          <w:szCs w:val="24"/>
        </w:rPr>
        <w:t xml:space="preserve"> Business 2018 k zmenám.</w:t>
      </w:r>
    </w:p>
    <w:p w14:paraId="788F775E" w14:textId="77777777" w:rsidR="00070D19" w:rsidRPr="00A33A28" w:rsidRDefault="00070D19" w:rsidP="00070D19">
      <w:pPr>
        <w:spacing w:after="0" w:line="240" w:lineRule="auto"/>
        <w:ind w:firstLine="708"/>
        <w:jc w:val="both"/>
        <w:rPr>
          <w:rFonts w:ascii="Times New Roman" w:hAnsi="Times New Roman" w:cs="Times New Roman"/>
          <w:sz w:val="24"/>
          <w:szCs w:val="24"/>
        </w:rPr>
      </w:pPr>
    </w:p>
    <w:p w14:paraId="32E34750" w14:textId="77777777" w:rsidR="00070D19" w:rsidRPr="00A33A28" w:rsidRDefault="00070D19" w:rsidP="00070D19">
      <w:pPr>
        <w:spacing w:after="0" w:line="240" w:lineRule="auto"/>
        <w:ind w:firstLine="708"/>
        <w:jc w:val="both"/>
        <w:rPr>
          <w:rFonts w:ascii="Times New Roman" w:hAnsi="Times New Roman" w:cs="Times New Roman"/>
          <w:b/>
          <w:sz w:val="24"/>
          <w:szCs w:val="24"/>
        </w:rPr>
      </w:pPr>
      <w:r w:rsidRPr="00A33A28">
        <w:rPr>
          <w:rFonts w:ascii="Times New Roman" w:hAnsi="Times New Roman" w:cs="Times New Roman"/>
          <w:b/>
          <w:sz w:val="24"/>
          <w:szCs w:val="24"/>
        </w:rPr>
        <w:t>Začatie podnikania</w:t>
      </w:r>
    </w:p>
    <w:p w14:paraId="54338CC5" w14:textId="77777777" w:rsidR="00070D19" w:rsidRPr="00A33A28" w:rsidRDefault="00070D19" w:rsidP="00070D19">
      <w:pPr>
        <w:spacing w:after="0" w:line="240" w:lineRule="auto"/>
        <w:ind w:firstLine="708"/>
        <w:jc w:val="both"/>
        <w:rPr>
          <w:rFonts w:ascii="Times New Roman" w:hAnsi="Times New Roman" w:cs="Times New Roman"/>
          <w:sz w:val="24"/>
          <w:szCs w:val="24"/>
        </w:rPr>
      </w:pPr>
    </w:p>
    <w:p w14:paraId="58AC510F" w14:textId="77777777" w:rsidR="00070D19" w:rsidRPr="00A33A28" w:rsidRDefault="00070D19" w:rsidP="00070D19">
      <w:pPr>
        <w:spacing w:after="0" w:line="240" w:lineRule="auto"/>
        <w:ind w:firstLine="708"/>
        <w:jc w:val="both"/>
        <w:rPr>
          <w:rFonts w:ascii="Times New Roman" w:hAnsi="Times New Roman" w:cs="Times New Roman"/>
          <w:sz w:val="24"/>
          <w:szCs w:val="24"/>
        </w:rPr>
      </w:pPr>
      <w:r w:rsidRPr="00A33A28">
        <w:rPr>
          <w:rFonts w:ascii="Times New Roman" w:hAnsi="Times New Roman" w:cs="Times New Roman"/>
          <w:sz w:val="24"/>
          <w:szCs w:val="24"/>
        </w:rPr>
        <w:t xml:space="preserve">V rámci indikátora Začatie podnikania sa Slovensko umiestnilo na 83. mieste. V tohtoročnom hodnotení nám Svetová banka zvýšila počet procedúr potrebných na začatie podnikania zo 6 na 7, aj napriek tomu, že nedošlo k žiadnej novej regulačnej požiadavke, ktorá sa mohla premietnuť ako procedúra navyše. Dopytované subjekty začali tento rok uvádzať ako procedúru povinnosť v zmysle §4 ods. 1 zákona č. 222/2004 Z. z., a teda </w:t>
      </w:r>
      <w:r w:rsidRPr="00A33A28">
        <w:rPr>
          <w:rFonts w:ascii="Times New Roman" w:hAnsi="Times New Roman" w:cs="Times New Roman"/>
          <w:i/>
          <w:sz w:val="24"/>
          <w:szCs w:val="24"/>
        </w:rPr>
        <w:t>povinnosť podania žiadosti o registráciu pre daň z pridanej hodnoty</w:t>
      </w:r>
      <w:r w:rsidRPr="00A33A28">
        <w:rPr>
          <w:rFonts w:ascii="Times New Roman" w:hAnsi="Times New Roman" w:cs="Times New Roman"/>
          <w:sz w:val="24"/>
          <w:szCs w:val="24"/>
        </w:rPr>
        <w:t>.</w:t>
      </w:r>
    </w:p>
    <w:p w14:paraId="65AE9113" w14:textId="77777777" w:rsidR="00070D19" w:rsidRPr="00A33A28" w:rsidRDefault="00070D19" w:rsidP="00070D19">
      <w:pPr>
        <w:spacing w:after="0" w:line="240" w:lineRule="auto"/>
        <w:ind w:firstLine="708"/>
        <w:jc w:val="both"/>
        <w:rPr>
          <w:rFonts w:ascii="Times New Roman" w:hAnsi="Times New Roman" w:cs="Times New Roman"/>
          <w:sz w:val="24"/>
          <w:szCs w:val="24"/>
        </w:rPr>
      </w:pPr>
      <w:r w:rsidRPr="00A33A28">
        <w:rPr>
          <w:rFonts w:ascii="Times New Roman" w:hAnsi="Times New Roman" w:cs="Times New Roman"/>
          <w:sz w:val="24"/>
          <w:szCs w:val="24"/>
        </w:rPr>
        <w:t>Svetová banka, vychádzajúc z vyplnených dotazníkov, argumentuje, že k registrácii zvyčajne dochádza aj v ostatných prípadoch na dobrovoľnej báze, v zmysle §4 ods. 2 toho istého zákona, a to ihneď po zaregistrovaní do obchodného registra, v zmysle uspokojenia vlastných obchodných potrieb. Radi by sme však dodali, že túto registráciu môže pre podnikateľa spraviť aj jednotné kontaktné miesto.</w:t>
      </w:r>
    </w:p>
    <w:p w14:paraId="750083EE" w14:textId="77777777" w:rsidR="00070D19" w:rsidRPr="00A33A28" w:rsidRDefault="00070D19" w:rsidP="00070D19">
      <w:pPr>
        <w:spacing w:after="0" w:line="240" w:lineRule="auto"/>
        <w:ind w:firstLine="708"/>
        <w:jc w:val="both"/>
        <w:rPr>
          <w:rFonts w:ascii="Times New Roman" w:hAnsi="Times New Roman" w:cs="Times New Roman"/>
          <w:sz w:val="24"/>
          <w:szCs w:val="24"/>
        </w:rPr>
      </w:pPr>
      <w:r w:rsidRPr="00A33A28">
        <w:rPr>
          <w:rFonts w:ascii="Times New Roman" w:hAnsi="Times New Roman" w:cs="Times New Roman"/>
          <w:sz w:val="24"/>
          <w:szCs w:val="24"/>
        </w:rPr>
        <w:t xml:space="preserve">Navyše, podľa údajov poskytnutých Finančnou správou SR, v roku 2017 bolo registrovaných 3 460 žiadostí o registráciu za účelom platby dane z príjmu. Z tohto počtu len 412 subjektov podalo žiadosť o registráciu za účelom platby dane z pridanej hodnoty, čo predstavuje 11,9 %. Navyše, v 83,74 % prípadov šlo o dobrovoľné registrácie. Z týchto štatistík preto môžeme usúdiť, že k registrácii za účelom platby dane z pridanej hodnoty dochádza len v malom počte prípadov, pričom v drvivej väčšine tak urobili podnikatelia dobrovoľne. </w:t>
      </w:r>
    </w:p>
    <w:p w14:paraId="2FD22F3B" w14:textId="77777777" w:rsidR="00070D19" w:rsidRPr="00A33A28" w:rsidRDefault="00070D19" w:rsidP="00070D19">
      <w:pPr>
        <w:spacing w:after="0" w:line="240" w:lineRule="auto"/>
        <w:ind w:firstLine="708"/>
        <w:jc w:val="both"/>
        <w:rPr>
          <w:rFonts w:ascii="Times New Roman" w:hAnsi="Times New Roman" w:cs="Times New Roman"/>
          <w:sz w:val="24"/>
          <w:szCs w:val="24"/>
        </w:rPr>
      </w:pPr>
      <w:r w:rsidRPr="00A33A28">
        <w:rPr>
          <w:rFonts w:ascii="Times New Roman" w:hAnsi="Times New Roman" w:cs="Times New Roman"/>
          <w:sz w:val="24"/>
          <w:szCs w:val="24"/>
        </w:rPr>
        <w:t xml:space="preserve">Taktiež sa zvýšil čas potrebný na splnenie týchto procedúr, a to o jeden kalendárny deň, v dôsledku novej procedúry. Náklady potrebné na začatie podnikania predstavujú zníženie z 1,2 % </w:t>
      </w:r>
      <w:r w:rsidRPr="00A33A28">
        <w:rPr>
          <w:rFonts w:ascii="Times New Roman" w:hAnsi="Times New Roman" w:cs="Times New Roman"/>
          <w:sz w:val="24"/>
          <w:szCs w:val="24"/>
        </w:rPr>
        <w:lastRenderedPageBreak/>
        <w:t>na 1,1 % z príjmu na obyvateľa a k zmene došlo aj pri vnímaní minimálnej výšky vkladu pri založení firmy, ktorá v tohtoročnom hodnotení už nepredstavuje 17,8 % z príjmu na obyvateľa, ale len 17,2 %.</w:t>
      </w:r>
    </w:p>
    <w:p w14:paraId="2D6AC852" w14:textId="77777777" w:rsidR="00070D19" w:rsidRPr="00A33A28" w:rsidRDefault="00070D19" w:rsidP="00070D19">
      <w:pPr>
        <w:spacing w:after="0" w:line="240" w:lineRule="auto"/>
        <w:ind w:firstLine="708"/>
        <w:jc w:val="both"/>
        <w:rPr>
          <w:rFonts w:ascii="Times New Roman" w:hAnsi="Times New Roman" w:cs="Times New Roman"/>
          <w:sz w:val="24"/>
          <w:szCs w:val="24"/>
        </w:rPr>
      </w:pPr>
      <w:r w:rsidRPr="00A33A28">
        <w:rPr>
          <w:rFonts w:ascii="Times New Roman" w:hAnsi="Times New Roman" w:cs="Times New Roman"/>
          <w:sz w:val="24"/>
          <w:szCs w:val="24"/>
        </w:rPr>
        <w:t xml:space="preserve">MH SR už dlhodobo a systematicky poukazuje na fakt, že hodnotenie </w:t>
      </w:r>
      <w:proofErr w:type="spellStart"/>
      <w:r w:rsidRPr="00A33A28">
        <w:rPr>
          <w:rFonts w:ascii="Times New Roman" w:hAnsi="Times New Roman" w:cs="Times New Roman"/>
          <w:sz w:val="24"/>
          <w:szCs w:val="24"/>
        </w:rPr>
        <w:t>Doing</w:t>
      </w:r>
      <w:proofErr w:type="spellEnd"/>
      <w:r w:rsidRPr="00A33A28">
        <w:rPr>
          <w:rFonts w:ascii="Times New Roman" w:hAnsi="Times New Roman" w:cs="Times New Roman"/>
          <w:sz w:val="24"/>
          <w:szCs w:val="24"/>
        </w:rPr>
        <w:t xml:space="preserve"> Business a jeho indikátory nemôžu popísať podnikateľské prostredie v celej jeho komplexnosti. Napríklad pri tomto konkrétnom indikátore nám Svetová banka v hodnotení pridáva povinnosť preveriť názov spoločnosti v obchodnom registri, avšak táto povinnosť podnikateľom nevyplýva zo žiadneho zákona a nemá pre nich ani praktický účinok, keďže obchodné meno sa nedá v SR rezervovať. Tento úkon zvyšuje čas aj náklady podľa danej metodiky, čím sa zhoršuje naše postavenie v hodnotení.</w:t>
      </w:r>
    </w:p>
    <w:p w14:paraId="7493BC1D" w14:textId="77777777" w:rsidR="00070D19" w:rsidRPr="00A33A28" w:rsidRDefault="00070D19" w:rsidP="00070D19">
      <w:pPr>
        <w:spacing w:after="0" w:line="240" w:lineRule="auto"/>
        <w:ind w:firstLine="708"/>
        <w:jc w:val="both"/>
        <w:rPr>
          <w:rFonts w:ascii="Times New Roman" w:hAnsi="Times New Roman" w:cs="Times New Roman"/>
          <w:sz w:val="24"/>
          <w:szCs w:val="24"/>
        </w:rPr>
      </w:pPr>
      <w:r w:rsidRPr="00A33A28">
        <w:rPr>
          <w:rFonts w:ascii="Times New Roman" w:hAnsi="Times New Roman" w:cs="Times New Roman"/>
          <w:sz w:val="24"/>
          <w:szCs w:val="24"/>
        </w:rPr>
        <w:t>Ďalším problematickým aspektom, ktorý vidíme aj na tomto konkrétnom indikátore, sú niektoré výstupy slovenských podnikateľov, ktorí poskytujú Svetovej banke informácie z vlastných skúseností s podnikaním na Slovensku. Súdiac podľa zverejnených informácií, podnikatelia pri svojom podnikaní nie vždy využívajú najrýchlejšie a najjednoduchšie postupy, ktoré im regulačný rámec v SR ponúka. Podnikatelia vo svojich odpovediach pre Svetovú banku uvádzajú, že si nechávajú overiť podpisy na spoločenskej zmluve za 12 eur u notára, nie za 7,50 EUR na matrike.</w:t>
      </w:r>
    </w:p>
    <w:p w14:paraId="6264ABFD" w14:textId="77777777" w:rsidR="00070D19" w:rsidRPr="00A33A28" w:rsidRDefault="00070D19" w:rsidP="00070D19">
      <w:pPr>
        <w:spacing w:after="0" w:line="240" w:lineRule="auto"/>
        <w:ind w:firstLine="708"/>
        <w:jc w:val="both"/>
        <w:rPr>
          <w:rFonts w:ascii="Times New Roman" w:hAnsi="Times New Roman" w:cs="Times New Roman"/>
          <w:sz w:val="24"/>
          <w:szCs w:val="24"/>
        </w:rPr>
      </w:pPr>
    </w:p>
    <w:p w14:paraId="4B2703A4" w14:textId="77777777" w:rsidR="00070D19" w:rsidRPr="00A33A28" w:rsidRDefault="00070D19" w:rsidP="00070D19">
      <w:pPr>
        <w:spacing w:after="0" w:line="240" w:lineRule="auto"/>
        <w:ind w:firstLine="708"/>
        <w:jc w:val="both"/>
        <w:rPr>
          <w:rFonts w:ascii="Times New Roman" w:hAnsi="Times New Roman" w:cs="Times New Roman"/>
          <w:b/>
          <w:sz w:val="24"/>
          <w:szCs w:val="24"/>
        </w:rPr>
      </w:pPr>
      <w:r w:rsidRPr="00A33A28">
        <w:rPr>
          <w:rFonts w:ascii="Times New Roman" w:hAnsi="Times New Roman" w:cs="Times New Roman"/>
          <w:b/>
          <w:sz w:val="24"/>
          <w:szCs w:val="24"/>
        </w:rPr>
        <w:t>Prístup k elektrickej energii</w:t>
      </w:r>
    </w:p>
    <w:p w14:paraId="32C398A6" w14:textId="77777777" w:rsidR="00070D19" w:rsidRPr="00A33A28" w:rsidRDefault="00070D19" w:rsidP="00070D19">
      <w:pPr>
        <w:spacing w:after="0" w:line="240" w:lineRule="auto"/>
        <w:ind w:firstLine="708"/>
        <w:jc w:val="both"/>
        <w:rPr>
          <w:rFonts w:ascii="Times New Roman" w:hAnsi="Times New Roman" w:cs="Times New Roman"/>
          <w:sz w:val="24"/>
          <w:szCs w:val="24"/>
        </w:rPr>
      </w:pPr>
    </w:p>
    <w:p w14:paraId="14C3EBA1" w14:textId="77777777" w:rsidR="00070D19" w:rsidRPr="00A33A28" w:rsidRDefault="00070D19" w:rsidP="00070D19">
      <w:pPr>
        <w:spacing w:after="0" w:line="240" w:lineRule="auto"/>
        <w:ind w:firstLine="708"/>
        <w:jc w:val="both"/>
        <w:rPr>
          <w:rFonts w:ascii="Times New Roman" w:hAnsi="Times New Roman" w:cs="Times New Roman"/>
          <w:sz w:val="24"/>
          <w:szCs w:val="24"/>
        </w:rPr>
      </w:pPr>
      <w:r w:rsidRPr="00A33A28">
        <w:rPr>
          <w:rFonts w:ascii="Times New Roman" w:hAnsi="Times New Roman" w:cs="Times New Roman"/>
          <w:sz w:val="24"/>
          <w:szCs w:val="24"/>
        </w:rPr>
        <w:t>Indikátor Prístup k elektrickej energii zaznamenal jedinú zásadnú zmenu v hodnotení, a to zníženie nákladov potrebných na získanie pripojenia k elektrickej energii. Zatiaľ čo v minuloročnom hodnotení tieto náklady predstavovali 52,6 % z príjmu na obyvateľa, v tohtoročnom hodnotení predstavujú už len 50,8 %. Tento fakt sa však neodrazil na skóre DTF, a to teda ostalo nezmenené.</w:t>
      </w:r>
    </w:p>
    <w:p w14:paraId="3B33325D" w14:textId="77777777" w:rsidR="00070D19" w:rsidRPr="00A33A28" w:rsidRDefault="00070D19" w:rsidP="00070D19">
      <w:pPr>
        <w:spacing w:after="0" w:line="240" w:lineRule="auto"/>
        <w:ind w:firstLine="708"/>
        <w:jc w:val="both"/>
        <w:rPr>
          <w:rFonts w:ascii="Times New Roman" w:hAnsi="Times New Roman" w:cs="Times New Roman"/>
          <w:sz w:val="24"/>
          <w:szCs w:val="24"/>
        </w:rPr>
      </w:pPr>
      <w:r w:rsidRPr="00A33A28">
        <w:rPr>
          <w:rFonts w:ascii="Times New Roman" w:hAnsi="Times New Roman" w:cs="Times New Roman"/>
          <w:sz w:val="24"/>
          <w:szCs w:val="24"/>
        </w:rPr>
        <w:t>Je potrebné upozorniť na skutočnosť, že MH SR vedie so Svetovou bankou dlhodobú diskusiu o metodike, keďže s niektorými procedúrami, ktoré nám narátavajú, nie je možné súhlasiť. Príkladom je procedúra vybudovanie vonkajšieho pripojenia, ktorá je úplne na strane zákazníka a distribučná spoločnosť ju neusmerňuje ani nekontroluje. Iné krajiny (napr. Nemecko) túto procedúru tiež neuvádzajú a nás podľa hodnotenia stojí 60 dní a 6 000 eur, čo je takmer polovica celkového času a väčšina nákladov.</w:t>
      </w:r>
    </w:p>
    <w:p w14:paraId="36200070" w14:textId="77777777" w:rsidR="00070D19" w:rsidRPr="00A33A28" w:rsidRDefault="00070D19" w:rsidP="00070D19">
      <w:pPr>
        <w:spacing w:after="0" w:line="240" w:lineRule="auto"/>
        <w:ind w:firstLine="708"/>
        <w:jc w:val="both"/>
        <w:rPr>
          <w:rFonts w:ascii="Times New Roman" w:hAnsi="Times New Roman" w:cs="Times New Roman"/>
          <w:sz w:val="24"/>
          <w:szCs w:val="24"/>
        </w:rPr>
      </w:pPr>
    </w:p>
    <w:p w14:paraId="04BD9CB0" w14:textId="77777777" w:rsidR="00070D19" w:rsidRPr="00A33A28" w:rsidRDefault="00070D19" w:rsidP="00070D19">
      <w:pPr>
        <w:spacing w:after="0" w:line="240" w:lineRule="auto"/>
        <w:ind w:firstLine="708"/>
        <w:jc w:val="both"/>
        <w:rPr>
          <w:rFonts w:ascii="Times New Roman" w:hAnsi="Times New Roman" w:cs="Times New Roman"/>
          <w:b/>
          <w:sz w:val="24"/>
          <w:szCs w:val="24"/>
        </w:rPr>
      </w:pPr>
      <w:r w:rsidRPr="00A33A28">
        <w:rPr>
          <w:rFonts w:ascii="Times New Roman" w:hAnsi="Times New Roman" w:cs="Times New Roman"/>
          <w:b/>
          <w:sz w:val="24"/>
          <w:szCs w:val="24"/>
        </w:rPr>
        <w:t>Získanie úveru</w:t>
      </w:r>
    </w:p>
    <w:p w14:paraId="7930B0CD" w14:textId="77777777" w:rsidR="00070D19" w:rsidRPr="00A33A28" w:rsidRDefault="00070D19" w:rsidP="00070D19">
      <w:pPr>
        <w:spacing w:after="0" w:line="240" w:lineRule="auto"/>
        <w:ind w:firstLine="708"/>
        <w:jc w:val="both"/>
        <w:rPr>
          <w:rFonts w:ascii="Times New Roman" w:hAnsi="Times New Roman" w:cs="Times New Roman"/>
          <w:sz w:val="24"/>
          <w:szCs w:val="24"/>
        </w:rPr>
      </w:pPr>
    </w:p>
    <w:p w14:paraId="5BFB9066" w14:textId="77777777" w:rsidR="00070D19" w:rsidRPr="00A33A28" w:rsidRDefault="00070D19" w:rsidP="00070D19">
      <w:pPr>
        <w:spacing w:after="0" w:line="240" w:lineRule="auto"/>
        <w:ind w:firstLine="708"/>
        <w:jc w:val="both"/>
        <w:rPr>
          <w:rFonts w:ascii="Times New Roman" w:hAnsi="Times New Roman" w:cs="Times New Roman"/>
          <w:sz w:val="24"/>
          <w:szCs w:val="24"/>
        </w:rPr>
      </w:pPr>
      <w:r w:rsidRPr="00A33A28">
        <w:rPr>
          <w:rFonts w:ascii="Times New Roman" w:hAnsi="Times New Roman" w:cs="Times New Roman"/>
          <w:sz w:val="24"/>
          <w:szCs w:val="24"/>
        </w:rPr>
        <w:t xml:space="preserve">V rámci indikátora Získanie úveru došlo k zmene len v dvoch indexoch: </w:t>
      </w:r>
      <w:proofErr w:type="spellStart"/>
      <w:r w:rsidRPr="00A33A28">
        <w:rPr>
          <w:rFonts w:ascii="Times New Roman" w:hAnsi="Times New Roman" w:cs="Times New Roman"/>
          <w:i/>
          <w:sz w:val="24"/>
          <w:szCs w:val="24"/>
        </w:rPr>
        <w:t>credit</w:t>
      </w:r>
      <w:proofErr w:type="spellEnd"/>
      <w:r w:rsidRPr="00A33A28">
        <w:rPr>
          <w:rFonts w:ascii="Times New Roman" w:hAnsi="Times New Roman" w:cs="Times New Roman"/>
          <w:i/>
          <w:sz w:val="24"/>
          <w:szCs w:val="24"/>
        </w:rPr>
        <w:t xml:space="preserve"> </w:t>
      </w:r>
      <w:proofErr w:type="spellStart"/>
      <w:r w:rsidRPr="00A33A28">
        <w:rPr>
          <w:rFonts w:ascii="Times New Roman" w:hAnsi="Times New Roman" w:cs="Times New Roman"/>
          <w:i/>
          <w:sz w:val="24"/>
          <w:szCs w:val="24"/>
        </w:rPr>
        <w:t>bureau</w:t>
      </w:r>
      <w:proofErr w:type="spellEnd"/>
      <w:r w:rsidRPr="00A33A28">
        <w:rPr>
          <w:rFonts w:ascii="Times New Roman" w:hAnsi="Times New Roman" w:cs="Times New Roman"/>
          <w:sz w:val="24"/>
          <w:szCs w:val="24"/>
        </w:rPr>
        <w:t xml:space="preserve"> (a teda ukazovateľ, ktorý udáva počet jednotlivcov a firiem ako % dospelej populácie - nad 15 rokov - uvedených v súkromnom registri úverovej spoločnosti s informáciami o ich výpožičnej histórii za ostatných 5 rokov, a počet jednotlivcov a firiem bez úverovej histórie za ostatných 5 rokov, o ktorých si ale poskytovateľ úveru vyžiadal od CB informácie); a </w:t>
      </w:r>
      <w:proofErr w:type="spellStart"/>
      <w:r w:rsidRPr="00A33A28">
        <w:rPr>
          <w:rFonts w:ascii="Times New Roman" w:hAnsi="Times New Roman" w:cs="Times New Roman"/>
          <w:i/>
          <w:sz w:val="24"/>
          <w:szCs w:val="24"/>
        </w:rPr>
        <w:t>credit</w:t>
      </w:r>
      <w:proofErr w:type="spellEnd"/>
      <w:r w:rsidRPr="00A33A28">
        <w:rPr>
          <w:rFonts w:ascii="Times New Roman" w:hAnsi="Times New Roman" w:cs="Times New Roman"/>
          <w:i/>
          <w:sz w:val="24"/>
          <w:szCs w:val="24"/>
        </w:rPr>
        <w:t xml:space="preserve"> </w:t>
      </w:r>
      <w:proofErr w:type="spellStart"/>
      <w:r w:rsidRPr="00A33A28">
        <w:rPr>
          <w:rFonts w:ascii="Times New Roman" w:hAnsi="Times New Roman" w:cs="Times New Roman"/>
          <w:i/>
          <w:sz w:val="24"/>
          <w:szCs w:val="24"/>
        </w:rPr>
        <w:t>registry</w:t>
      </w:r>
      <w:proofErr w:type="spellEnd"/>
      <w:r w:rsidRPr="00A33A28">
        <w:rPr>
          <w:rFonts w:ascii="Times New Roman" w:hAnsi="Times New Roman" w:cs="Times New Roman"/>
          <w:sz w:val="24"/>
          <w:szCs w:val="24"/>
        </w:rPr>
        <w:t xml:space="preserve"> (teda ukazovateľ, ktorý udáva počet jednotlivcov a firiem ako % dospelej populácie  - nad 15 rokov - uvedených vo verejnom úverovom registri s informáciami o ich výpožičnej histórii za ostatných 5 rokov, a počet jednotlivcov a firiem bez úverovej histórie za ostatných 5 rokov, o ktorých si ale poskytovateľ úveru vyžiadal od CB informácie). Hodnota prvého ukazovateľa vzrástla z minuloročných 76,4 % na 79,4 %. Hodnota druhého ukazovateľa zaznamenala nárast o jednu desatinu, z 3,1 % na 3,2 %.</w:t>
      </w:r>
    </w:p>
    <w:p w14:paraId="5CDF707F" w14:textId="77777777" w:rsidR="00070D19" w:rsidRPr="00A33A28" w:rsidRDefault="00070D19" w:rsidP="00070D19">
      <w:pPr>
        <w:spacing w:after="0" w:line="240" w:lineRule="auto"/>
        <w:ind w:firstLine="708"/>
        <w:jc w:val="both"/>
        <w:rPr>
          <w:rFonts w:ascii="Times New Roman" w:hAnsi="Times New Roman" w:cs="Times New Roman"/>
          <w:sz w:val="24"/>
          <w:szCs w:val="24"/>
        </w:rPr>
      </w:pPr>
    </w:p>
    <w:p w14:paraId="02EB9101" w14:textId="77777777" w:rsidR="00070D19" w:rsidRPr="00A33A28" w:rsidRDefault="00070D19" w:rsidP="00070D19">
      <w:pPr>
        <w:spacing w:after="0" w:line="240" w:lineRule="auto"/>
        <w:ind w:firstLine="708"/>
        <w:jc w:val="both"/>
        <w:rPr>
          <w:rFonts w:ascii="Times New Roman" w:hAnsi="Times New Roman" w:cs="Times New Roman"/>
          <w:b/>
          <w:sz w:val="24"/>
          <w:szCs w:val="24"/>
        </w:rPr>
      </w:pPr>
      <w:r w:rsidRPr="00A33A28">
        <w:rPr>
          <w:rFonts w:ascii="Times New Roman" w:hAnsi="Times New Roman" w:cs="Times New Roman"/>
          <w:b/>
          <w:sz w:val="24"/>
          <w:szCs w:val="24"/>
        </w:rPr>
        <w:t>Daňové povinnosti firiem</w:t>
      </w:r>
    </w:p>
    <w:p w14:paraId="2226972D" w14:textId="77777777" w:rsidR="00070D19" w:rsidRPr="00A33A28" w:rsidRDefault="00070D19" w:rsidP="00070D19">
      <w:pPr>
        <w:spacing w:after="0" w:line="240" w:lineRule="auto"/>
        <w:ind w:firstLine="708"/>
        <w:jc w:val="both"/>
        <w:rPr>
          <w:rFonts w:ascii="Times New Roman" w:hAnsi="Times New Roman" w:cs="Times New Roman"/>
          <w:sz w:val="24"/>
          <w:szCs w:val="24"/>
        </w:rPr>
      </w:pPr>
    </w:p>
    <w:p w14:paraId="3D825B96" w14:textId="77777777" w:rsidR="00070D19" w:rsidRPr="00A33A28" w:rsidRDefault="00070D19" w:rsidP="00070D19">
      <w:pPr>
        <w:spacing w:after="0" w:line="240" w:lineRule="auto"/>
        <w:ind w:firstLine="708"/>
        <w:jc w:val="both"/>
        <w:rPr>
          <w:rFonts w:ascii="Times New Roman" w:hAnsi="Times New Roman" w:cs="Times New Roman"/>
          <w:sz w:val="24"/>
          <w:szCs w:val="24"/>
        </w:rPr>
      </w:pPr>
      <w:r w:rsidRPr="00A33A28">
        <w:rPr>
          <w:rFonts w:ascii="Times New Roman" w:hAnsi="Times New Roman" w:cs="Times New Roman"/>
          <w:sz w:val="24"/>
          <w:szCs w:val="24"/>
        </w:rPr>
        <w:t xml:space="preserve">V indikátore Daňové povinnosti firiem zaznamenalo Slovensko zmenu v rámci indexu procedúr po vyplnení daňového priznania, kde získalo skóre 87,17 oproti minuloročnému skóre 89,91. Aj napriek tomu však Slovensko obsadilo v rámci tohto indikátora lepšiu pozíciu oproti minulému roku o 7 pozícií, čo značí, že ostatné krajiny si v tejto oblasti pravdepodobne  pohoršili.  </w:t>
      </w:r>
    </w:p>
    <w:p w14:paraId="4D0069D9" w14:textId="640229D5" w:rsidR="00070D19" w:rsidRPr="00A33A28" w:rsidRDefault="00070D19" w:rsidP="00070D19">
      <w:pPr>
        <w:spacing w:after="0" w:line="240" w:lineRule="auto"/>
        <w:ind w:firstLine="708"/>
        <w:jc w:val="both"/>
        <w:rPr>
          <w:rFonts w:ascii="Times New Roman" w:hAnsi="Times New Roman" w:cs="Times New Roman"/>
          <w:sz w:val="24"/>
          <w:szCs w:val="24"/>
        </w:rPr>
      </w:pPr>
      <w:r w:rsidRPr="00A33A28">
        <w:rPr>
          <w:rFonts w:ascii="Times New Roman" w:hAnsi="Times New Roman" w:cs="Times New Roman"/>
          <w:sz w:val="24"/>
          <w:szCs w:val="24"/>
        </w:rPr>
        <w:t xml:space="preserve">Celková daňová sadzba  v SR (ako % zisku) uvedená v hodnotení </w:t>
      </w:r>
      <w:proofErr w:type="spellStart"/>
      <w:r w:rsidRPr="00A33A28">
        <w:rPr>
          <w:rFonts w:ascii="Times New Roman" w:hAnsi="Times New Roman" w:cs="Times New Roman"/>
          <w:sz w:val="24"/>
          <w:szCs w:val="24"/>
        </w:rPr>
        <w:t>Doing</w:t>
      </w:r>
      <w:proofErr w:type="spellEnd"/>
      <w:r w:rsidRPr="00A33A28">
        <w:rPr>
          <w:rFonts w:ascii="Times New Roman" w:hAnsi="Times New Roman" w:cs="Times New Roman"/>
          <w:sz w:val="24"/>
          <w:szCs w:val="24"/>
        </w:rPr>
        <w:t xml:space="preserve"> Business 2018 je </w:t>
      </w:r>
      <w:r w:rsidRPr="00A33A28">
        <w:rPr>
          <w:rFonts w:ascii="Times New Roman" w:hAnsi="Times New Roman" w:cs="Times New Roman"/>
          <w:sz w:val="24"/>
          <w:szCs w:val="24"/>
        </w:rPr>
        <w:br/>
      </w:r>
      <w:r w:rsidRPr="00A33A28">
        <w:rPr>
          <w:rFonts w:ascii="Times New Roman" w:hAnsi="Times New Roman" w:cs="Times New Roman"/>
          <w:sz w:val="24"/>
          <w:szCs w:val="24"/>
        </w:rPr>
        <w:lastRenderedPageBreak/>
        <w:t xml:space="preserve">51,6 %. Do tejto sadzby sú započítavané odvody zamestnávateľa za zamestnanca, daň z príjmov právnických osôb, miestny poplatok za komunálne odpady a drobné stavebné odpady, daň z úrokov, daň z nehnuteľnosti, daň z motorových vozidiel. Zníženie celkovej daňovej sadzby v zmysle metodiky </w:t>
      </w:r>
      <w:proofErr w:type="spellStart"/>
      <w:r w:rsidRPr="00A33A28">
        <w:rPr>
          <w:rFonts w:ascii="Times New Roman" w:hAnsi="Times New Roman" w:cs="Times New Roman"/>
          <w:sz w:val="24"/>
          <w:szCs w:val="24"/>
        </w:rPr>
        <w:t>Doing</w:t>
      </w:r>
      <w:proofErr w:type="spellEnd"/>
      <w:r w:rsidRPr="00A33A28">
        <w:rPr>
          <w:rFonts w:ascii="Times New Roman" w:hAnsi="Times New Roman" w:cs="Times New Roman"/>
          <w:sz w:val="24"/>
          <w:szCs w:val="24"/>
        </w:rPr>
        <w:t xml:space="preserve"> Business napr. na 45 % by za inak nezmenených podmienok mohlo znamenať posun zo 49. miesta na 40. miesto.</w:t>
      </w:r>
    </w:p>
    <w:p w14:paraId="23E99A4D" w14:textId="77777777" w:rsidR="00070D19" w:rsidRPr="00A33A28" w:rsidRDefault="00070D19" w:rsidP="00070D19">
      <w:pPr>
        <w:spacing w:after="0" w:line="240" w:lineRule="auto"/>
        <w:ind w:firstLine="708"/>
        <w:jc w:val="both"/>
        <w:rPr>
          <w:rFonts w:ascii="Times New Roman" w:hAnsi="Times New Roman" w:cs="Times New Roman"/>
          <w:sz w:val="24"/>
          <w:szCs w:val="24"/>
        </w:rPr>
      </w:pPr>
    </w:p>
    <w:p w14:paraId="53D14819" w14:textId="77777777" w:rsidR="00070D19" w:rsidRPr="00A33A28" w:rsidRDefault="00070D19" w:rsidP="00070D19">
      <w:pPr>
        <w:spacing w:after="0" w:line="240" w:lineRule="auto"/>
        <w:ind w:firstLine="708"/>
        <w:jc w:val="both"/>
        <w:rPr>
          <w:rFonts w:ascii="Times New Roman" w:hAnsi="Times New Roman" w:cs="Times New Roman"/>
          <w:b/>
          <w:sz w:val="24"/>
          <w:szCs w:val="24"/>
        </w:rPr>
      </w:pPr>
      <w:r w:rsidRPr="00A33A28">
        <w:rPr>
          <w:rFonts w:ascii="Times New Roman" w:hAnsi="Times New Roman" w:cs="Times New Roman"/>
          <w:b/>
          <w:sz w:val="24"/>
          <w:szCs w:val="24"/>
        </w:rPr>
        <w:t>Vymáhateľnosť zmlúv</w:t>
      </w:r>
    </w:p>
    <w:p w14:paraId="1EC7D5E7" w14:textId="77777777" w:rsidR="00070D19" w:rsidRPr="00A33A28" w:rsidRDefault="00070D19" w:rsidP="00070D19">
      <w:pPr>
        <w:spacing w:after="0" w:line="240" w:lineRule="auto"/>
        <w:ind w:firstLine="708"/>
        <w:jc w:val="both"/>
        <w:rPr>
          <w:rFonts w:ascii="Times New Roman" w:hAnsi="Times New Roman" w:cs="Times New Roman"/>
          <w:sz w:val="24"/>
          <w:szCs w:val="24"/>
        </w:rPr>
      </w:pPr>
    </w:p>
    <w:p w14:paraId="7365CB31" w14:textId="77777777" w:rsidR="00070D19" w:rsidRPr="00A33A28" w:rsidRDefault="00070D19" w:rsidP="00070D19">
      <w:pPr>
        <w:spacing w:after="0" w:line="240" w:lineRule="auto"/>
        <w:ind w:firstLine="708"/>
        <w:jc w:val="both"/>
        <w:rPr>
          <w:rFonts w:ascii="Times New Roman" w:hAnsi="Times New Roman" w:cs="Times New Roman"/>
          <w:sz w:val="24"/>
          <w:szCs w:val="24"/>
        </w:rPr>
      </w:pPr>
      <w:r w:rsidRPr="00A33A28">
        <w:rPr>
          <w:rFonts w:ascii="Times New Roman" w:hAnsi="Times New Roman" w:cs="Times New Roman"/>
          <w:sz w:val="24"/>
          <w:szCs w:val="24"/>
        </w:rPr>
        <w:t xml:space="preserve">V rámci indikátora Vymáhateľnosť zmlúv Slovensko mierne oslabilo svoju pozíciu, posúvajúc sa z 82. miesta 84. miesto. Došlo k nárastu času potrebného na vyriešenie sporu od okamihu, keď žalobca podal žalobu na súd až do úplného zaplatenia vymáhanej pohľadávky, a to o 70 dní. Týchto 70 dní bolo navýšených v rámci súdneho výkonu rozhodnutia. Čas na prípravu súdneho pojednávania a na súdny výkon rozhodnutia zostali nezmenené. Taktiež vzrástli náklady spojené s vymáhateľnosťou zmlúv, predstavujúc v súčasnosti 30,6 % z hodnoty dlhu, oproti minuloročným 30 %. Nárast zaznamenali len náklady na súd, a teda náklady na advokáta a na súdny výkon rozhodnutia ostali nezmenené. </w:t>
      </w:r>
    </w:p>
    <w:p w14:paraId="2331138F" w14:textId="77777777" w:rsidR="00070D19" w:rsidRPr="00A33A28" w:rsidRDefault="00070D19" w:rsidP="00070D19">
      <w:pPr>
        <w:spacing w:after="0" w:line="240" w:lineRule="auto"/>
        <w:ind w:firstLine="708"/>
        <w:jc w:val="both"/>
        <w:rPr>
          <w:rFonts w:ascii="Times New Roman" w:hAnsi="Times New Roman" w:cs="Times New Roman"/>
          <w:sz w:val="24"/>
          <w:szCs w:val="24"/>
        </w:rPr>
      </w:pPr>
      <w:r w:rsidRPr="00A33A28">
        <w:rPr>
          <w:rFonts w:ascii="Times New Roman" w:hAnsi="Times New Roman" w:cs="Times New Roman"/>
          <w:sz w:val="24"/>
          <w:szCs w:val="24"/>
        </w:rPr>
        <w:t xml:space="preserve">Polepšili sme si však v indexe kvality súdnych konaní, v ktorom sme získali o jeden bod viac oproti minuloročným výsledkom. K zlepšeniu došlo konkrétne v Indexe kvality súdnych konaní novelou občianskeho súdneho poriadku z roku 2016, ktorá zaviedla inštitút predbežného </w:t>
      </w:r>
      <w:proofErr w:type="spellStart"/>
      <w:r w:rsidRPr="00A33A28">
        <w:rPr>
          <w:rFonts w:ascii="Times New Roman" w:hAnsi="Times New Roman" w:cs="Times New Roman"/>
          <w:sz w:val="24"/>
          <w:szCs w:val="24"/>
        </w:rPr>
        <w:t>prejednania</w:t>
      </w:r>
      <w:proofErr w:type="spellEnd"/>
      <w:r w:rsidRPr="00A33A28">
        <w:rPr>
          <w:rFonts w:ascii="Times New Roman" w:hAnsi="Times New Roman" w:cs="Times New Roman"/>
          <w:sz w:val="24"/>
          <w:szCs w:val="24"/>
        </w:rPr>
        <w:t xml:space="preserve"> sporu.</w:t>
      </w:r>
    </w:p>
    <w:p w14:paraId="0AD40D2F" w14:textId="5E003E31" w:rsidR="00070D19" w:rsidRDefault="00070D19" w:rsidP="00506C08">
      <w:pPr>
        <w:spacing w:after="0" w:line="240" w:lineRule="auto"/>
        <w:jc w:val="both"/>
        <w:rPr>
          <w:rFonts w:ascii="Times New Roman" w:hAnsi="Times New Roman" w:cs="Times New Roman"/>
          <w:b/>
          <w:sz w:val="24"/>
          <w:szCs w:val="24"/>
        </w:rPr>
      </w:pPr>
    </w:p>
    <w:p w14:paraId="040A7648" w14:textId="77777777" w:rsidR="00070D19" w:rsidRPr="00A33A28" w:rsidRDefault="00070D19" w:rsidP="00070D19">
      <w:pPr>
        <w:spacing w:after="0" w:line="240" w:lineRule="auto"/>
        <w:ind w:firstLine="708"/>
        <w:jc w:val="both"/>
        <w:rPr>
          <w:rFonts w:ascii="Times New Roman" w:hAnsi="Times New Roman" w:cs="Times New Roman"/>
          <w:b/>
          <w:sz w:val="24"/>
          <w:szCs w:val="24"/>
        </w:rPr>
      </w:pPr>
      <w:r w:rsidRPr="00A33A28">
        <w:rPr>
          <w:rFonts w:ascii="Times New Roman" w:hAnsi="Times New Roman" w:cs="Times New Roman"/>
          <w:b/>
          <w:sz w:val="24"/>
          <w:szCs w:val="24"/>
        </w:rPr>
        <w:t>Riešenie platobnej neschopnosti</w:t>
      </w:r>
    </w:p>
    <w:p w14:paraId="20685018" w14:textId="77777777" w:rsidR="00070D19" w:rsidRPr="00A33A28" w:rsidRDefault="00070D19" w:rsidP="00070D19">
      <w:pPr>
        <w:spacing w:after="0" w:line="240" w:lineRule="auto"/>
        <w:ind w:firstLine="708"/>
        <w:jc w:val="both"/>
        <w:rPr>
          <w:rFonts w:ascii="Times New Roman" w:hAnsi="Times New Roman" w:cs="Times New Roman"/>
          <w:b/>
          <w:sz w:val="24"/>
          <w:szCs w:val="24"/>
        </w:rPr>
      </w:pPr>
    </w:p>
    <w:p w14:paraId="5CD57B70" w14:textId="77777777" w:rsidR="00070D19" w:rsidRPr="00A33A28" w:rsidRDefault="00070D19" w:rsidP="00070D19">
      <w:pPr>
        <w:spacing w:after="0" w:line="240" w:lineRule="auto"/>
        <w:ind w:firstLine="708"/>
        <w:jc w:val="both"/>
        <w:rPr>
          <w:rFonts w:ascii="Times New Roman" w:hAnsi="Times New Roman" w:cs="Times New Roman"/>
          <w:sz w:val="24"/>
          <w:szCs w:val="24"/>
        </w:rPr>
      </w:pPr>
      <w:r w:rsidRPr="00A33A28">
        <w:rPr>
          <w:rFonts w:ascii="Times New Roman" w:hAnsi="Times New Roman" w:cs="Times New Roman"/>
          <w:sz w:val="24"/>
          <w:szCs w:val="24"/>
        </w:rPr>
        <w:t>V rámci indikátora Riešenie platobnej neschopnosti sme zaznamenali zníženie miery vymoženia pohľadávky, oproti minuloročnej hodnote 55,6 centov na 1 USD to je tento rok len 47,3 centov na 1 USD, ktoré získajú prednostní veritelia pri reštrukturalizácii, likvidácii, konkurze alebo nútenej správe, odpočítajúc náklady vymáhania pohľadávky a stratu hodnoty majetku počas trvania procesu vymáhania pohľadávky. Dôvodom zníženia miery vymoženia pohľadávky došlo v súvislosti so zmenou diskontnej sadzby.</w:t>
      </w:r>
    </w:p>
    <w:p w14:paraId="49260347" w14:textId="77777777" w:rsidR="00070D19" w:rsidRPr="00A33A28" w:rsidRDefault="00070D19" w:rsidP="00070D19">
      <w:pPr>
        <w:spacing w:after="0" w:line="240" w:lineRule="auto"/>
        <w:ind w:firstLine="708"/>
        <w:jc w:val="both"/>
        <w:rPr>
          <w:rFonts w:ascii="Times New Roman" w:hAnsi="Times New Roman" w:cs="Times New Roman"/>
          <w:sz w:val="24"/>
          <w:szCs w:val="24"/>
        </w:rPr>
      </w:pPr>
    </w:p>
    <w:p w14:paraId="5258A989" w14:textId="77777777" w:rsidR="00070D19" w:rsidRPr="00A33A28" w:rsidRDefault="00070D19" w:rsidP="00070D19">
      <w:pPr>
        <w:spacing w:after="0" w:line="240" w:lineRule="auto"/>
        <w:ind w:firstLine="708"/>
        <w:jc w:val="both"/>
        <w:rPr>
          <w:rFonts w:ascii="Times New Roman" w:hAnsi="Times New Roman" w:cs="Times New Roman"/>
          <w:b/>
          <w:sz w:val="24"/>
          <w:szCs w:val="24"/>
        </w:rPr>
      </w:pPr>
      <w:r w:rsidRPr="00A33A28">
        <w:rPr>
          <w:rFonts w:ascii="Times New Roman" w:hAnsi="Times New Roman" w:cs="Times New Roman"/>
          <w:b/>
          <w:sz w:val="24"/>
          <w:szCs w:val="24"/>
        </w:rPr>
        <w:t>Získavanie stavebných povolení</w:t>
      </w:r>
    </w:p>
    <w:p w14:paraId="20B84191" w14:textId="0502F618" w:rsidR="00070D19" w:rsidRPr="00A33A28" w:rsidRDefault="00070D19" w:rsidP="00070D19">
      <w:pPr>
        <w:spacing w:after="0" w:line="240" w:lineRule="auto"/>
        <w:ind w:firstLine="708"/>
        <w:jc w:val="both"/>
        <w:rPr>
          <w:rFonts w:ascii="Times New Roman" w:hAnsi="Times New Roman" w:cs="Times New Roman"/>
          <w:sz w:val="24"/>
          <w:szCs w:val="24"/>
        </w:rPr>
      </w:pPr>
      <w:r w:rsidRPr="00A33A28">
        <w:rPr>
          <w:rFonts w:ascii="Times New Roman" w:hAnsi="Times New Roman" w:cs="Times New Roman"/>
          <w:sz w:val="24"/>
          <w:szCs w:val="24"/>
        </w:rPr>
        <w:t>Slovensko</w:t>
      </w:r>
      <w:r w:rsidR="0083092E">
        <w:rPr>
          <w:rFonts w:ascii="Times New Roman" w:hAnsi="Times New Roman" w:cs="Times New Roman"/>
          <w:sz w:val="24"/>
          <w:szCs w:val="24"/>
        </w:rPr>
        <w:t xml:space="preserve"> je v hodnotení </w:t>
      </w:r>
      <w:proofErr w:type="spellStart"/>
      <w:r w:rsidR="0083092E">
        <w:rPr>
          <w:rFonts w:ascii="Times New Roman" w:hAnsi="Times New Roman" w:cs="Times New Roman"/>
          <w:sz w:val="24"/>
          <w:szCs w:val="24"/>
        </w:rPr>
        <w:t>Doing</w:t>
      </w:r>
      <w:proofErr w:type="spellEnd"/>
      <w:r w:rsidR="0083092E">
        <w:rPr>
          <w:rFonts w:ascii="Times New Roman" w:hAnsi="Times New Roman" w:cs="Times New Roman"/>
          <w:sz w:val="24"/>
          <w:szCs w:val="24"/>
        </w:rPr>
        <w:t xml:space="preserve"> Business</w:t>
      </w:r>
      <w:r w:rsidRPr="00A33A28">
        <w:rPr>
          <w:rFonts w:ascii="Times New Roman" w:hAnsi="Times New Roman" w:cs="Times New Roman"/>
          <w:sz w:val="24"/>
          <w:szCs w:val="24"/>
        </w:rPr>
        <w:t xml:space="preserve"> aktuálne na 91. mieste, čo je jeho najhoršie umiestnenie zo všetkých sledovaných indikátorov. Počet kalendárnych dní potrebných na získanie stavebného povolenia a postavenie skladu podľa prípadovej štúdie je v rebríčku </w:t>
      </w:r>
      <w:proofErr w:type="spellStart"/>
      <w:r w:rsidRPr="00A33A28">
        <w:rPr>
          <w:rFonts w:ascii="Times New Roman" w:hAnsi="Times New Roman" w:cs="Times New Roman"/>
          <w:sz w:val="24"/>
          <w:szCs w:val="24"/>
        </w:rPr>
        <w:t>Doing</w:t>
      </w:r>
      <w:proofErr w:type="spellEnd"/>
      <w:r w:rsidRPr="00A33A28">
        <w:rPr>
          <w:rFonts w:ascii="Times New Roman" w:hAnsi="Times New Roman" w:cs="Times New Roman"/>
          <w:sz w:val="24"/>
          <w:szCs w:val="24"/>
        </w:rPr>
        <w:t xml:space="preserve"> Business 2018 pre SR 286 dní. </w:t>
      </w:r>
    </w:p>
    <w:p w14:paraId="57B81B56" w14:textId="77777777" w:rsidR="00070D19" w:rsidRPr="00A33A28" w:rsidRDefault="00070D19" w:rsidP="00070D19">
      <w:pPr>
        <w:spacing w:after="0" w:line="240" w:lineRule="auto"/>
        <w:ind w:firstLine="708"/>
        <w:jc w:val="both"/>
        <w:rPr>
          <w:rFonts w:ascii="Times New Roman" w:hAnsi="Times New Roman" w:cs="Times New Roman"/>
          <w:sz w:val="24"/>
          <w:szCs w:val="24"/>
        </w:rPr>
      </w:pPr>
    </w:p>
    <w:p w14:paraId="4CFD8CE8" w14:textId="77777777" w:rsidR="00070D19" w:rsidRPr="00A33A28" w:rsidRDefault="00070D19" w:rsidP="00070D19">
      <w:pPr>
        <w:spacing w:after="0" w:line="240" w:lineRule="auto"/>
        <w:jc w:val="both"/>
        <w:rPr>
          <w:rFonts w:ascii="Times New Roman" w:hAnsi="Times New Roman" w:cs="Times New Roman"/>
          <w:i/>
          <w:sz w:val="24"/>
          <w:szCs w:val="24"/>
        </w:rPr>
      </w:pPr>
      <w:r w:rsidRPr="00A33A28">
        <w:rPr>
          <w:rFonts w:ascii="Times New Roman" w:hAnsi="Times New Roman" w:cs="Times New Roman"/>
          <w:i/>
          <w:sz w:val="24"/>
          <w:szCs w:val="24"/>
        </w:rPr>
        <w:t>Poznámka: Prepočty potenciálnych posunov umiestnenia SR sú vypočítané prostredníctvom kalkulátora DB18-DTF-CALCULATOR</w:t>
      </w:r>
      <w:r w:rsidRPr="00A33A28">
        <w:rPr>
          <w:rStyle w:val="Odkaznapoznmkupodiarou"/>
          <w:i/>
          <w:sz w:val="24"/>
          <w:szCs w:val="24"/>
        </w:rPr>
        <w:footnoteReference w:id="6"/>
      </w:r>
      <w:r w:rsidRPr="00A33A28">
        <w:rPr>
          <w:rFonts w:ascii="Times New Roman" w:hAnsi="Times New Roman" w:cs="Times New Roman"/>
          <w:i/>
          <w:sz w:val="24"/>
          <w:szCs w:val="24"/>
        </w:rPr>
        <w:t xml:space="preserve">. </w:t>
      </w:r>
    </w:p>
    <w:p w14:paraId="361371E1" w14:textId="77777777" w:rsidR="00070D19" w:rsidRPr="00A33A28" w:rsidRDefault="00070D19" w:rsidP="00070D19">
      <w:pPr>
        <w:spacing w:after="0" w:line="240" w:lineRule="auto"/>
        <w:jc w:val="both"/>
        <w:rPr>
          <w:rFonts w:ascii="Times New Roman" w:hAnsi="Times New Roman" w:cs="Times New Roman"/>
          <w:sz w:val="24"/>
          <w:szCs w:val="24"/>
        </w:rPr>
      </w:pPr>
    </w:p>
    <w:p w14:paraId="23049729" w14:textId="77777777" w:rsidR="00070D19" w:rsidRPr="00A33A28" w:rsidRDefault="00070D19" w:rsidP="00070D19">
      <w:pPr>
        <w:pStyle w:val="Odsekzoznamu"/>
        <w:tabs>
          <w:tab w:val="left" w:pos="426"/>
        </w:tabs>
        <w:ind w:left="0"/>
        <w:rPr>
          <w:rFonts w:ascii="Times New Roman" w:hAnsi="Times New Roman" w:cs="Times New Roman"/>
          <w:b/>
          <w:sz w:val="24"/>
          <w:szCs w:val="24"/>
        </w:rPr>
      </w:pPr>
      <w:r w:rsidRPr="00A33A28">
        <w:rPr>
          <w:rFonts w:ascii="Times New Roman" w:hAnsi="Times New Roman" w:cs="Times New Roman"/>
          <w:b/>
          <w:sz w:val="24"/>
          <w:szCs w:val="24"/>
        </w:rPr>
        <w:t>Hodnotenie Svetovej banky „</w:t>
      </w:r>
      <w:proofErr w:type="spellStart"/>
      <w:r w:rsidRPr="00A33A28">
        <w:rPr>
          <w:rFonts w:ascii="Times New Roman" w:hAnsi="Times New Roman" w:cs="Times New Roman"/>
          <w:b/>
          <w:sz w:val="24"/>
          <w:szCs w:val="24"/>
        </w:rPr>
        <w:t>Doing</w:t>
      </w:r>
      <w:proofErr w:type="spellEnd"/>
      <w:r w:rsidRPr="00A33A28">
        <w:rPr>
          <w:rFonts w:ascii="Times New Roman" w:hAnsi="Times New Roman" w:cs="Times New Roman"/>
          <w:b/>
          <w:sz w:val="24"/>
          <w:szCs w:val="24"/>
        </w:rPr>
        <w:t xml:space="preserve"> Business na regionálnej úrovni“</w:t>
      </w:r>
    </w:p>
    <w:p w14:paraId="0227D23F" w14:textId="77777777" w:rsidR="00070D19" w:rsidRPr="00A33A28" w:rsidRDefault="00070D19" w:rsidP="00070D19">
      <w:pPr>
        <w:spacing w:after="0" w:line="240" w:lineRule="auto"/>
        <w:ind w:firstLine="708"/>
        <w:jc w:val="both"/>
        <w:rPr>
          <w:rFonts w:ascii="Times New Roman" w:hAnsi="Times New Roman" w:cs="Times New Roman"/>
          <w:sz w:val="24"/>
          <w:szCs w:val="24"/>
        </w:rPr>
      </w:pPr>
    </w:p>
    <w:p w14:paraId="4CB95FE7" w14:textId="77777777" w:rsidR="00070D19" w:rsidRPr="00A33A28" w:rsidRDefault="00070D19" w:rsidP="00070D19">
      <w:pPr>
        <w:spacing w:after="0" w:line="240" w:lineRule="auto"/>
        <w:ind w:firstLine="708"/>
        <w:jc w:val="both"/>
        <w:rPr>
          <w:rFonts w:ascii="Times New Roman" w:hAnsi="Times New Roman" w:cs="Times New Roman"/>
          <w:sz w:val="24"/>
          <w:szCs w:val="24"/>
        </w:rPr>
      </w:pPr>
      <w:r w:rsidRPr="00A33A28">
        <w:rPr>
          <w:rFonts w:ascii="Times New Roman" w:hAnsi="Times New Roman" w:cs="Times New Roman"/>
          <w:sz w:val="24"/>
          <w:szCs w:val="24"/>
        </w:rPr>
        <w:t xml:space="preserve">V roku 2017 MH SR rozšírilo spoluprácu so Svetovou bankou prostredníctvom projektu </w:t>
      </w:r>
      <w:proofErr w:type="spellStart"/>
      <w:r w:rsidRPr="00A33A28">
        <w:rPr>
          <w:rFonts w:ascii="Times New Roman" w:hAnsi="Times New Roman" w:cs="Times New Roman"/>
          <w:sz w:val="24"/>
          <w:szCs w:val="24"/>
        </w:rPr>
        <w:t>Doing</w:t>
      </w:r>
      <w:proofErr w:type="spellEnd"/>
      <w:r w:rsidRPr="00A33A28">
        <w:rPr>
          <w:rFonts w:ascii="Times New Roman" w:hAnsi="Times New Roman" w:cs="Times New Roman"/>
          <w:sz w:val="24"/>
          <w:szCs w:val="24"/>
        </w:rPr>
        <w:t xml:space="preserve"> Business na regionálnej úrovni.</w:t>
      </w:r>
    </w:p>
    <w:p w14:paraId="7EA0F06A" w14:textId="77777777" w:rsidR="00070D19" w:rsidRPr="00A33A28" w:rsidRDefault="00070D19" w:rsidP="00070D19">
      <w:pPr>
        <w:spacing w:after="0" w:line="240" w:lineRule="auto"/>
        <w:ind w:firstLine="708"/>
        <w:jc w:val="both"/>
        <w:rPr>
          <w:rFonts w:ascii="Times New Roman" w:hAnsi="Times New Roman" w:cs="Times New Roman"/>
          <w:sz w:val="24"/>
          <w:szCs w:val="24"/>
        </w:rPr>
      </w:pPr>
      <w:r w:rsidRPr="00A33A28">
        <w:rPr>
          <w:rFonts w:ascii="Times New Roman" w:hAnsi="Times New Roman" w:cs="Times New Roman"/>
          <w:sz w:val="24"/>
          <w:szCs w:val="24"/>
        </w:rPr>
        <w:t xml:space="preserve">Účelom tohto projektu je vyhodnotiť a porovnať podnikateľské prostredie v mestách </w:t>
      </w:r>
      <w:r w:rsidRPr="00A33A28">
        <w:rPr>
          <w:rFonts w:ascii="Times New Roman" w:hAnsi="Times New Roman" w:cs="Times New Roman"/>
          <w:sz w:val="24"/>
          <w:szCs w:val="24"/>
        </w:rPr>
        <w:br/>
        <w:t xml:space="preserve">na Slovensku a v ďalších členských štátoch Európskej únie. Projekt je financovaný Generálnym riaditeľstvom pre regionálnu a mestskú politiku Európskej komisie a je implementovaný Svetovou bankou pod záštitou Ministerstva hospodárstva SR a Ministerstva financií SR. </w:t>
      </w:r>
      <w:r w:rsidRPr="00A33A28">
        <w:rPr>
          <w:rFonts w:ascii="Times New Roman" w:hAnsi="Times New Roman" w:cs="Times New Roman"/>
          <w:sz w:val="24"/>
          <w:szCs w:val="24"/>
        </w:rPr>
        <w:br/>
        <w:t>Na implementácii zároveň spolupracujú aj ďalšie inštitúcie a partneri na miestnej aj celonárodnej úrovni.</w:t>
      </w:r>
    </w:p>
    <w:p w14:paraId="7F341EFF" w14:textId="77777777" w:rsidR="00070D19" w:rsidRPr="00A33A28" w:rsidRDefault="00070D19" w:rsidP="00070D19">
      <w:pPr>
        <w:spacing w:after="0" w:line="240" w:lineRule="auto"/>
        <w:ind w:firstLine="708"/>
        <w:jc w:val="both"/>
        <w:rPr>
          <w:rFonts w:ascii="Times New Roman" w:hAnsi="Times New Roman" w:cs="Times New Roman"/>
          <w:sz w:val="24"/>
          <w:szCs w:val="24"/>
        </w:rPr>
      </w:pPr>
    </w:p>
    <w:p w14:paraId="0D960CA8" w14:textId="77777777" w:rsidR="00070D19" w:rsidRPr="00A33A28" w:rsidRDefault="00070D19" w:rsidP="00070D19">
      <w:pPr>
        <w:spacing w:after="0" w:line="240" w:lineRule="auto"/>
        <w:ind w:firstLine="708"/>
        <w:jc w:val="both"/>
        <w:rPr>
          <w:rFonts w:ascii="Times New Roman" w:hAnsi="Times New Roman" w:cs="Times New Roman"/>
          <w:sz w:val="24"/>
          <w:szCs w:val="24"/>
        </w:rPr>
      </w:pPr>
      <w:r w:rsidRPr="00A33A28">
        <w:rPr>
          <w:rFonts w:ascii="Times New Roman" w:hAnsi="Times New Roman" w:cs="Times New Roman"/>
          <w:sz w:val="24"/>
          <w:szCs w:val="24"/>
        </w:rPr>
        <w:t xml:space="preserve">Svetová banka analyzuje podnikateľské prostredie v piatich slovenských mestách: Bratislava, Košice, Prešov, Žilina a Trnava. V štúdii sa zameriava na päť oblastí: </w:t>
      </w:r>
    </w:p>
    <w:p w14:paraId="507051C9" w14:textId="77777777" w:rsidR="00070D19" w:rsidRPr="00A33A28" w:rsidRDefault="00070D19" w:rsidP="00070D19">
      <w:pPr>
        <w:pStyle w:val="Odsekzoznamu"/>
        <w:numPr>
          <w:ilvl w:val="0"/>
          <w:numId w:val="8"/>
        </w:numPr>
        <w:rPr>
          <w:rFonts w:ascii="Times New Roman" w:hAnsi="Times New Roman" w:cs="Times New Roman"/>
          <w:sz w:val="24"/>
          <w:szCs w:val="24"/>
        </w:rPr>
      </w:pPr>
      <w:r w:rsidRPr="00A33A28">
        <w:rPr>
          <w:rFonts w:ascii="Times New Roman" w:hAnsi="Times New Roman" w:cs="Times New Roman"/>
          <w:sz w:val="24"/>
          <w:szCs w:val="24"/>
        </w:rPr>
        <w:t>začatie podnikania,</w:t>
      </w:r>
    </w:p>
    <w:p w14:paraId="7FFE742B" w14:textId="77777777" w:rsidR="00070D19" w:rsidRPr="00A33A28" w:rsidRDefault="00070D19" w:rsidP="00070D19">
      <w:pPr>
        <w:pStyle w:val="Odsekzoznamu"/>
        <w:numPr>
          <w:ilvl w:val="0"/>
          <w:numId w:val="8"/>
        </w:numPr>
        <w:rPr>
          <w:rFonts w:ascii="Times New Roman" w:hAnsi="Times New Roman" w:cs="Times New Roman"/>
          <w:sz w:val="24"/>
          <w:szCs w:val="24"/>
        </w:rPr>
      </w:pPr>
      <w:r w:rsidRPr="00A33A28">
        <w:rPr>
          <w:rFonts w:ascii="Times New Roman" w:hAnsi="Times New Roman" w:cs="Times New Roman"/>
          <w:sz w:val="24"/>
          <w:szCs w:val="24"/>
        </w:rPr>
        <w:lastRenderedPageBreak/>
        <w:t>získanie stavebných povolení,</w:t>
      </w:r>
    </w:p>
    <w:p w14:paraId="5FBB81E4" w14:textId="77777777" w:rsidR="00070D19" w:rsidRPr="00A33A28" w:rsidRDefault="00070D19" w:rsidP="00070D19">
      <w:pPr>
        <w:pStyle w:val="Odsekzoznamu"/>
        <w:numPr>
          <w:ilvl w:val="0"/>
          <w:numId w:val="8"/>
        </w:numPr>
        <w:rPr>
          <w:rFonts w:ascii="Times New Roman" w:hAnsi="Times New Roman" w:cs="Times New Roman"/>
          <w:sz w:val="24"/>
          <w:szCs w:val="24"/>
        </w:rPr>
      </w:pPr>
      <w:r w:rsidRPr="00A33A28">
        <w:rPr>
          <w:rFonts w:ascii="Times New Roman" w:hAnsi="Times New Roman" w:cs="Times New Roman"/>
          <w:sz w:val="24"/>
          <w:szCs w:val="24"/>
        </w:rPr>
        <w:t>prístup k elektrickej energii,</w:t>
      </w:r>
    </w:p>
    <w:p w14:paraId="3772F3CD" w14:textId="77777777" w:rsidR="00070D19" w:rsidRPr="00A33A28" w:rsidRDefault="00070D19" w:rsidP="00070D19">
      <w:pPr>
        <w:pStyle w:val="Odsekzoznamu"/>
        <w:numPr>
          <w:ilvl w:val="0"/>
          <w:numId w:val="8"/>
        </w:numPr>
        <w:rPr>
          <w:rFonts w:ascii="Times New Roman" w:hAnsi="Times New Roman" w:cs="Times New Roman"/>
          <w:sz w:val="24"/>
          <w:szCs w:val="24"/>
        </w:rPr>
      </w:pPr>
      <w:r w:rsidRPr="00A33A28">
        <w:rPr>
          <w:rFonts w:ascii="Times New Roman" w:hAnsi="Times New Roman" w:cs="Times New Roman"/>
          <w:sz w:val="24"/>
          <w:szCs w:val="24"/>
        </w:rPr>
        <w:t>registrácia majetku,</w:t>
      </w:r>
    </w:p>
    <w:p w14:paraId="4FFFCF7F" w14:textId="77777777" w:rsidR="00070D19" w:rsidRPr="00A33A28" w:rsidRDefault="00070D19" w:rsidP="00070D19">
      <w:pPr>
        <w:pStyle w:val="Odsekzoznamu"/>
        <w:numPr>
          <w:ilvl w:val="0"/>
          <w:numId w:val="8"/>
        </w:numPr>
        <w:rPr>
          <w:rFonts w:ascii="Times New Roman" w:hAnsi="Times New Roman" w:cs="Times New Roman"/>
          <w:sz w:val="24"/>
          <w:szCs w:val="24"/>
        </w:rPr>
      </w:pPr>
      <w:r w:rsidRPr="00A33A28">
        <w:rPr>
          <w:rFonts w:ascii="Times New Roman" w:hAnsi="Times New Roman" w:cs="Times New Roman"/>
          <w:sz w:val="24"/>
          <w:szCs w:val="24"/>
        </w:rPr>
        <w:t>vymáhateľnosť zmlúv.</w:t>
      </w:r>
    </w:p>
    <w:p w14:paraId="23C814AE" w14:textId="77777777" w:rsidR="00070D19" w:rsidRPr="00A33A28" w:rsidRDefault="00070D19" w:rsidP="00070D19">
      <w:pPr>
        <w:spacing w:line="240" w:lineRule="auto"/>
        <w:jc w:val="both"/>
        <w:rPr>
          <w:rFonts w:ascii="Times New Roman" w:hAnsi="Times New Roman" w:cs="Times New Roman"/>
          <w:sz w:val="24"/>
          <w:szCs w:val="24"/>
        </w:rPr>
      </w:pPr>
      <w:r w:rsidRPr="00A33A28">
        <w:rPr>
          <w:rFonts w:ascii="Times New Roman" w:hAnsi="Times New Roman" w:cs="Times New Roman"/>
          <w:sz w:val="24"/>
          <w:szCs w:val="24"/>
        </w:rPr>
        <w:t>Na základe analýzy každej z týchto oblastí identifikuje najefektívnejšie postupy overené praxou v mestách na Slovensku, v iných európskych krajinách, ale aj inde vo svete. Správa Svetovej banky obsahujúca konkrétne odporúčania a žiaduce reformy na miestnej a národnej úrovni štátnej správy by mala byť zverejnená v júni 2018.</w:t>
      </w:r>
    </w:p>
    <w:p w14:paraId="4DCE0D02" w14:textId="77777777" w:rsidR="00070D19" w:rsidRPr="00A33A28" w:rsidRDefault="00070D19" w:rsidP="00070D19">
      <w:pPr>
        <w:pStyle w:val="Odsekzoznamu"/>
        <w:numPr>
          <w:ilvl w:val="1"/>
          <w:numId w:val="4"/>
        </w:numPr>
        <w:tabs>
          <w:tab w:val="left" w:pos="426"/>
        </w:tabs>
        <w:ind w:left="0" w:firstLine="0"/>
        <w:rPr>
          <w:rFonts w:ascii="Times New Roman" w:hAnsi="Times New Roman" w:cs="Times New Roman"/>
          <w:b/>
          <w:sz w:val="24"/>
          <w:szCs w:val="24"/>
        </w:rPr>
      </w:pPr>
      <w:r w:rsidRPr="00A33A28">
        <w:rPr>
          <w:rFonts w:ascii="Times New Roman" w:hAnsi="Times New Roman" w:cs="Times New Roman"/>
          <w:b/>
          <w:sz w:val="24"/>
          <w:szCs w:val="24"/>
        </w:rPr>
        <w:t>Postavenie SR v rebríčku konkurencieschopnosti Svetového ekonomického fóra</w:t>
      </w:r>
    </w:p>
    <w:p w14:paraId="74D5EF99" w14:textId="77777777" w:rsidR="00070D19" w:rsidRPr="00A33A28" w:rsidRDefault="00070D19" w:rsidP="00070D19">
      <w:pPr>
        <w:pStyle w:val="Odsekzoznamu"/>
        <w:tabs>
          <w:tab w:val="left" w:pos="426"/>
        </w:tabs>
        <w:ind w:left="0"/>
        <w:rPr>
          <w:rFonts w:ascii="Times New Roman" w:hAnsi="Times New Roman" w:cs="Times New Roman"/>
          <w:b/>
          <w:sz w:val="24"/>
          <w:szCs w:val="24"/>
        </w:rPr>
      </w:pPr>
    </w:p>
    <w:p w14:paraId="4E55B3AC" w14:textId="77777777" w:rsidR="00070D19" w:rsidRPr="00A33A28" w:rsidRDefault="00070D19" w:rsidP="00070D19">
      <w:pPr>
        <w:spacing w:after="0" w:line="240" w:lineRule="auto"/>
        <w:ind w:firstLine="709"/>
        <w:jc w:val="both"/>
        <w:rPr>
          <w:rFonts w:ascii="Times New Roman" w:eastAsia="Times New Roman" w:hAnsi="Times New Roman" w:cs="Times New Roman"/>
          <w:sz w:val="24"/>
          <w:szCs w:val="24"/>
          <w:lang w:eastAsia="sk-SK"/>
        </w:rPr>
      </w:pPr>
      <w:r w:rsidRPr="00A33A28">
        <w:rPr>
          <w:rFonts w:ascii="Times New Roman" w:eastAsia="Times New Roman" w:hAnsi="Times New Roman" w:cs="Times New Roman"/>
          <w:sz w:val="24"/>
          <w:szCs w:val="24"/>
          <w:lang w:eastAsia="sk-SK"/>
        </w:rPr>
        <w:t>Medzinárodným rebríčkom, ktorý monitoruje názory podnikateľov súvisiacich s kvalitou podnikateľského prostredia, je rebríček konkurencieschopnosti, ktorý vydáva Svetové ekonomické fórum (ďalej len „WEF“). Prieskum „</w:t>
      </w:r>
      <w:proofErr w:type="spellStart"/>
      <w:r w:rsidRPr="00A33A28">
        <w:rPr>
          <w:rFonts w:ascii="Times New Roman" w:eastAsia="Times New Roman" w:hAnsi="Times New Roman" w:cs="Times New Roman"/>
          <w:i/>
          <w:sz w:val="24"/>
          <w:szCs w:val="24"/>
          <w:lang w:eastAsia="sk-SK"/>
        </w:rPr>
        <w:t>The</w:t>
      </w:r>
      <w:proofErr w:type="spellEnd"/>
      <w:r w:rsidRPr="00A33A28">
        <w:rPr>
          <w:rFonts w:ascii="Times New Roman" w:eastAsia="Times New Roman" w:hAnsi="Times New Roman" w:cs="Times New Roman"/>
          <w:i/>
          <w:sz w:val="24"/>
          <w:szCs w:val="24"/>
          <w:lang w:eastAsia="sk-SK"/>
        </w:rPr>
        <w:t xml:space="preserve"> </w:t>
      </w:r>
      <w:proofErr w:type="spellStart"/>
      <w:r w:rsidRPr="00A33A28">
        <w:rPr>
          <w:rFonts w:ascii="Times New Roman" w:eastAsia="Times New Roman" w:hAnsi="Times New Roman" w:cs="Times New Roman"/>
          <w:i/>
          <w:sz w:val="24"/>
          <w:szCs w:val="24"/>
          <w:lang w:eastAsia="sk-SK"/>
        </w:rPr>
        <w:t>Global</w:t>
      </w:r>
      <w:proofErr w:type="spellEnd"/>
      <w:r w:rsidRPr="00A33A28">
        <w:rPr>
          <w:rFonts w:ascii="Times New Roman" w:eastAsia="Times New Roman" w:hAnsi="Times New Roman" w:cs="Times New Roman"/>
          <w:i/>
          <w:sz w:val="24"/>
          <w:szCs w:val="24"/>
          <w:lang w:eastAsia="sk-SK"/>
        </w:rPr>
        <w:t xml:space="preserve"> </w:t>
      </w:r>
      <w:proofErr w:type="spellStart"/>
      <w:r w:rsidRPr="00A33A28">
        <w:rPr>
          <w:rFonts w:ascii="Times New Roman" w:eastAsia="Times New Roman" w:hAnsi="Times New Roman" w:cs="Times New Roman"/>
          <w:i/>
          <w:sz w:val="24"/>
          <w:szCs w:val="24"/>
          <w:lang w:eastAsia="sk-SK"/>
        </w:rPr>
        <w:t>Competitiveness</w:t>
      </w:r>
      <w:proofErr w:type="spellEnd"/>
      <w:r w:rsidRPr="00A33A28">
        <w:rPr>
          <w:rFonts w:ascii="Times New Roman" w:eastAsia="Times New Roman" w:hAnsi="Times New Roman" w:cs="Times New Roman"/>
          <w:i/>
          <w:sz w:val="24"/>
          <w:szCs w:val="24"/>
          <w:lang w:eastAsia="sk-SK"/>
        </w:rPr>
        <w:t xml:space="preserve"> Report WEF 2017-2018</w:t>
      </w:r>
      <w:r w:rsidRPr="00A33A28">
        <w:rPr>
          <w:rFonts w:ascii="Times New Roman" w:eastAsia="Times New Roman" w:hAnsi="Times New Roman" w:cs="Times New Roman"/>
          <w:sz w:val="24"/>
          <w:szCs w:val="24"/>
          <w:lang w:eastAsia="sk-SK"/>
        </w:rPr>
        <w:t xml:space="preserve">“ hodnotí konkurencieschopnosť krajín na základe verejných štatistických dát </w:t>
      </w:r>
      <w:r w:rsidRPr="00A33A28">
        <w:rPr>
          <w:rFonts w:ascii="Times New Roman" w:eastAsia="Times New Roman" w:hAnsi="Times New Roman" w:cs="Times New Roman"/>
          <w:sz w:val="24"/>
          <w:szCs w:val="24"/>
          <w:lang w:eastAsia="sk-SK"/>
        </w:rPr>
        <w:br/>
        <w:t xml:space="preserve">a celosvetového Prieskumu názorov riadiacich pracovníkov, za Slovensko sa ho teda zúčastňujú slovenskí podnikatelia. Slovensko zaznamenalo v poslednom hodnotení v tomto rebríčku zlepšenie zo 65. na 59. miesto spomedzi 138 hodnotených ekonomík. </w:t>
      </w:r>
    </w:p>
    <w:p w14:paraId="48DAA753" w14:textId="77777777" w:rsidR="00070D19" w:rsidRPr="00A33A28" w:rsidRDefault="00070D19" w:rsidP="00070D19">
      <w:pPr>
        <w:spacing w:after="0" w:line="240" w:lineRule="auto"/>
        <w:jc w:val="both"/>
        <w:rPr>
          <w:rFonts w:ascii="Times New Roman" w:eastAsia="Times New Roman" w:hAnsi="Times New Roman" w:cs="Times New Roman"/>
          <w:sz w:val="24"/>
          <w:szCs w:val="24"/>
          <w:lang w:eastAsia="sk-SK"/>
        </w:rPr>
      </w:pPr>
    </w:p>
    <w:p w14:paraId="0751ECD4" w14:textId="77777777" w:rsidR="00070D19" w:rsidRPr="00A33A28" w:rsidRDefault="00070D19" w:rsidP="00070D19">
      <w:pPr>
        <w:spacing w:after="0" w:line="240" w:lineRule="auto"/>
        <w:jc w:val="both"/>
        <w:rPr>
          <w:rFonts w:ascii="Times New Roman" w:eastAsia="Times New Roman" w:hAnsi="Times New Roman" w:cs="Times New Roman"/>
          <w:bCs/>
          <w:sz w:val="24"/>
          <w:szCs w:val="24"/>
          <w:lang w:eastAsia="sk-SK"/>
        </w:rPr>
      </w:pPr>
      <w:r w:rsidRPr="00A33A28">
        <w:rPr>
          <w:rFonts w:ascii="Times New Roman" w:eastAsia="Times New Roman" w:hAnsi="Times New Roman" w:cs="Times New Roman"/>
          <w:bCs/>
          <w:sz w:val="24"/>
          <w:szCs w:val="24"/>
          <w:lang w:eastAsia="sk-SK"/>
        </w:rPr>
        <w:t>Hodnotených bolo 12 pilierov konkurencieschopnosti (pozri tabuľka 2.2.1).</w:t>
      </w:r>
    </w:p>
    <w:p w14:paraId="6CF7340A" w14:textId="77777777" w:rsidR="00070D19" w:rsidRPr="00A33A28" w:rsidRDefault="00070D19" w:rsidP="00070D19">
      <w:pPr>
        <w:spacing w:after="0" w:line="240" w:lineRule="auto"/>
        <w:jc w:val="both"/>
        <w:rPr>
          <w:rFonts w:ascii="Times New Roman" w:hAnsi="Times New Roman" w:cs="Times New Roman"/>
          <w:b/>
        </w:rPr>
      </w:pPr>
    </w:p>
    <w:p w14:paraId="62945838" w14:textId="77777777" w:rsidR="00070D19" w:rsidRPr="00A33A28" w:rsidRDefault="00070D19" w:rsidP="00070D19">
      <w:pPr>
        <w:spacing w:after="0" w:line="240" w:lineRule="auto"/>
        <w:jc w:val="both"/>
        <w:rPr>
          <w:rFonts w:ascii="Times New Roman" w:hAnsi="Times New Roman" w:cs="Times New Roman"/>
          <w:b/>
        </w:rPr>
      </w:pPr>
      <w:r w:rsidRPr="00A33A28">
        <w:rPr>
          <w:rFonts w:ascii="Times New Roman" w:hAnsi="Times New Roman" w:cs="Times New Roman"/>
          <w:b/>
        </w:rPr>
        <w:t xml:space="preserve">Tabuľka 2.2.1 Umiestnenie SR v hodnotení jednotlivých </w:t>
      </w:r>
      <w:proofErr w:type="spellStart"/>
      <w:r w:rsidRPr="00A33A28">
        <w:rPr>
          <w:rFonts w:ascii="Times New Roman" w:hAnsi="Times New Roman" w:cs="Times New Roman"/>
          <w:b/>
        </w:rPr>
        <w:t>piliérov</w:t>
      </w:r>
      <w:proofErr w:type="spellEnd"/>
      <w:r w:rsidRPr="00A33A28">
        <w:rPr>
          <w:rFonts w:ascii="Times New Roman" w:hAnsi="Times New Roman" w:cs="Times New Roman"/>
          <w:b/>
        </w:rPr>
        <w:t xml:space="preserve"> konkurencieschopnosti a v celkovom hodnotení prieskumu „</w:t>
      </w:r>
      <w:proofErr w:type="spellStart"/>
      <w:r w:rsidRPr="00A33A28">
        <w:rPr>
          <w:rFonts w:ascii="Times New Roman" w:hAnsi="Times New Roman" w:cs="Times New Roman"/>
          <w:b/>
        </w:rPr>
        <w:t>The</w:t>
      </w:r>
      <w:proofErr w:type="spellEnd"/>
      <w:r w:rsidRPr="00A33A28">
        <w:rPr>
          <w:rFonts w:ascii="Times New Roman" w:hAnsi="Times New Roman" w:cs="Times New Roman"/>
          <w:b/>
        </w:rPr>
        <w:t xml:space="preserve"> </w:t>
      </w:r>
      <w:proofErr w:type="spellStart"/>
      <w:r w:rsidRPr="00A33A28">
        <w:rPr>
          <w:rFonts w:ascii="Times New Roman" w:hAnsi="Times New Roman" w:cs="Times New Roman"/>
          <w:b/>
        </w:rPr>
        <w:t>Global</w:t>
      </w:r>
      <w:proofErr w:type="spellEnd"/>
      <w:r w:rsidRPr="00A33A28">
        <w:rPr>
          <w:rFonts w:ascii="Times New Roman" w:hAnsi="Times New Roman" w:cs="Times New Roman"/>
          <w:b/>
        </w:rPr>
        <w:t xml:space="preserve"> </w:t>
      </w:r>
      <w:proofErr w:type="spellStart"/>
      <w:r w:rsidRPr="00A33A28">
        <w:rPr>
          <w:rFonts w:ascii="Times New Roman" w:hAnsi="Times New Roman" w:cs="Times New Roman"/>
          <w:b/>
        </w:rPr>
        <w:t>Competitiveness</w:t>
      </w:r>
      <w:proofErr w:type="spellEnd"/>
      <w:r w:rsidRPr="00A33A28">
        <w:rPr>
          <w:rFonts w:ascii="Times New Roman" w:hAnsi="Times New Roman" w:cs="Times New Roman"/>
          <w:b/>
        </w:rPr>
        <w:t xml:space="preserve"> Report WEF“ v rokoch 2014 – 2018. </w:t>
      </w:r>
    </w:p>
    <w:tbl>
      <w:tblPr>
        <w:tblStyle w:val="Mriekatabuky"/>
        <w:tblW w:w="4950" w:type="pct"/>
        <w:jc w:val="center"/>
        <w:tblLayout w:type="fixed"/>
        <w:tblLook w:val="04A0" w:firstRow="1" w:lastRow="0" w:firstColumn="1" w:lastColumn="0" w:noHBand="0" w:noVBand="1"/>
      </w:tblPr>
      <w:tblGrid>
        <w:gridCol w:w="3780"/>
        <w:gridCol w:w="1167"/>
        <w:gridCol w:w="1022"/>
        <w:gridCol w:w="1167"/>
        <w:gridCol w:w="1171"/>
        <w:gridCol w:w="1169"/>
      </w:tblGrid>
      <w:tr w:rsidR="00070D19" w:rsidRPr="00A33A28" w14:paraId="033FCF81" w14:textId="77777777" w:rsidTr="00653141">
        <w:trPr>
          <w:tblHeader/>
          <w:jc w:val="center"/>
        </w:trPr>
        <w:tc>
          <w:tcPr>
            <w:tcW w:w="1994" w:type="pct"/>
            <w:vMerge w:val="restart"/>
            <w:shd w:val="clear" w:color="auto" w:fill="548DD4" w:themeFill="text2" w:themeFillTint="99"/>
            <w:vAlign w:val="center"/>
          </w:tcPr>
          <w:p w14:paraId="70094E75" w14:textId="77777777" w:rsidR="00070D19" w:rsidRPr="00A33A28" w:rsidRDefault="00070D19" w:rsidP="00653141">
            <w:pPr>
              <w:jc w:val="center"/>
              <w:rPr>
                <w:rFonts w:ascii="Times New Roman" w:hAnsi="Times New Roman" w:cs="Times New Roman"/>
                <w:b/>
                <w:sz w:val="20"/>
                <w:szCs w:val="20"/>
              </w:rPr>
            </w:pPr>
            <w:r w:rsidRPr="00A33A28">
              <w:rPr>
                <w:rFonts w:ascii="Times New Roman" w:hAnsi="Times New Roman" w:cs="Times New Roman"/>
                <w:b/>
                <w:sz w:val="20"/>
                <w:szCs w:val="20"/>
              </w:rPr>
              <w:t>Piliere konkurencieschopnosti</w:t>
            </w:r>
          </w:p>
        </w:tc>
        <w:tc>
          <w:tcPr>
            <w:tcW w:w="3006" w:type="pct"/>
            <w:gridSpan w:val="5"/>
            <w:shd w:val="clear" w:color="auto" w:fill="548DD4" w:themeFill="text2" w:themeFillTint="99"/>
            <w:vAlign w:val="center"/>
          </w:tcPr>
          <w:p w14:paraId="3013D0D9" w14:textId="77777777" w:rsidR="00070D19" w:rsidRPr="00A33A28" w:rsidRDefault="00070D19" w:rsidP="00653141">
            <w:pPr>
              <w:jc w:val="center"/>
              <w:rPr>
                <w:rFonts w:ascii="Times New Roman" w:hAnsi="Times New Roman" w:cs="Times New Roman"/>
                <w:b/>
                <w:sz w:val="20"/>
                <w:szCs w:val="20"/>
              </w:rPr>
            </w:pPr>
            <w:r w:rsidRPr="00A33A28">
              <w:rPr>
                <w:rFonts w:ascii="Times New Roman" w:hAnsi="Times New Roman" w:cs="Times New Roman"/>
                <w:b/>
                <w:sz w:val="20"/>
                <w:szCs w:val="20"/>
              </w:rPr>
              <w:t>Rok hodnotenia a pozícia v rebríčku</w:t>
            </w:r>
          </w:p>
        </w:tc>
      </w:tr>
      <w:tr w:rsidR="00070D19" w:rsidRPr="00A33A28" w14:paraId="343F1BC9" w14:textId="77777777" w:rsidTr="00653141">
        <w:trPr>
          <w:tblHeader/>
          <w:jc w:val="center"/>
        </w:trPr>
        <w:tc>
          <w:tcPr>
            <w:tcW w:w="1994" w:type="pct"/>
            <w:vMerge/>
            <w:shd w:val="clear" w:color="auto" w:fill="548DD4" w:themeFill="text2" w:themeFillTint="99"/>
            <w:vAlign w:val="center"/>
          </w:tcPr>
          <w:p w14:paraId="420843F5" w14:textId="77777777" w:rsidR="00070D19" w:rsidRPr="00A33A28" w:rsidRDefault="00070D19" w:rsidP="00653141">
            <w:pPr>
              <w:jc w:val="center"/>
              <w:rPr>
                <w:rFonts w:ascii="Times New Roman" w:hAnsi="Times New Roman" w:cs="Times New Roman"/>
                <w:b/>
                <w:sz w:val="20"/>
                <w:szCs w:val="20"/>
              </w:rPr>
            </w:pPr>
          </w:p>
        </w:tc>
        <w:tc>
          <w:tcPr>
            <w:tcW w:w="616" w:type="pct"/>
            <w:shd w:val="clear" w:color="auto" w:fill="548DD4" w:themeFill="text2" w:themeFillTint="99"/>
            <w:vAlign w:val="center"/>
          </w:tcPr>
          <w:p w14:paraId="5223DB68" w14:textId="77777777" w:rsidR="00070D19" w:rsidRPr="00A33A28" w:rsidRDefault="00070D19" w:rsidP="00653141">
            <w:pPr>
              <w:jc w:val="center"/>
              <w:rPr>
                <w:rFonts w:ascii="Times New Roman" w:hAnsi="Times New Roman" w:cs="Times New Roman"/>
                <w:b/>
                <w:sz w:val="20"/>
                <w:szCs w:val="20"/>
              </w:rPr>
            </w:pPr>
            <w:r w:rsidRPr="00A33A28">
              <w:rPr>
                <w:rFonts w:ascii="Times New Roman" w:hAnsi="Times New Roman" w:cs="Times New Roman"/>
                <w:b/>
                <w:sz w:val="20"/>
                <w:szCs w:val="20"/>
              </w:rPr>
              <w:t>2017-18</w:t>
            </w:r>
          </w:p>
        </w:tc>
        <w:tc>
          <w:tcPr>
            <w:tcW w:w="539" w:type="pct"/>
            <w:shd w:val="clear" w:color="auto" w:fill="548DD4" w:themeFill="text2" w:themeFillTint="99"/>
            <w:vAlign w:val="center"/>
          </w:tcPr>
          <w:p w14:paraId="44A5079D" w14:textId="77777777" w:rsidR="00070D19" w:rsidRPr="00A33A28" w:rsidRDefault="00070D19" w:rsidP="00653141">
            <w:pPr>
              <w:jc w:val="center"/>
              <w:rPr>
                <w:rFonts w:ascii="Times New Roman" w:hAnsi="Times New Roman" w:cs="Times New Roman"/>
                <w:b/>
                <w:sz w:val="20"/>
                <w:szCs w:val="20"/>
              </w:rPr>
            </w:pPr>
            <w:r w:rsidRPr="00A33A28">
              <w:rPr>
                <w:rFonts w:ascii="Times New Roman" w:hAnsi="Times New Roman" w:cs="Times New Roman"/>
                <w:b/>
                <w:sz w:val="20"/>
                <w:szCs w:val="20"/>
              </w:rPr>
              <w:t>Zmena</w:t>
            </w:r>
          </w:p>
        </w:tc>
        <w:tc>
          <w:tcPr>
            <w:tcW w:w="616" w:type="pct"/>
            <w:shd w:val="clear" w:color="auto" w:fill="548DD4" w:themeFill="text2" w:themeFillTint="99"/>
            <w:vAlign w:val="center"/>
          </w:tcPr>
          <w:p w14:paraId="0A21DBEB" w14:textId="77777777" w:rsidR="00070D19" w:rsidRPr="00A33A28" w:rsidRDefault="00070D19" w:rsidP="00653141">
            <w:pPr>
              <w:jc w:val="center"/>
              <w:rPr>
                <w:rFonts w:ascii="Times New Roman" w:hAnsi="Times New Roman" w:cs="Times New Roman"/>
                <w:b/>
                <w:sz w:val="20"/>
                <w:szCs w:val="20"/>
              </w:rPr>
            </w:pPr>
            <w:r w:rsidRPr="00A33A28">
              <w:rPr>
                <w:rFonts w:ascii="Times New Roman" w:hAnsi="Times New Roman" w:cs="Times New Roman"/>
                <w:b/>
                <w:sz w:val="20"/>
                <w:szCs w:val="20"/>
              </w:rPr>
              <w:t>2016-17</w:t>
            </w:r>
          </w:p>
        </w:tc>
        <w:tc>
          <w:tcPr>
            <w:tcW w:w="618" w:type="pct"/>
            <w:shd w:val="clear" w:color="auto" w:fill="548DD4" w:themeFill="text2" w:themeFillTint="99"/>
            <w:vAlign w:val="center"/>
          </w:tcPr>
          <w:p w14:paraId="4FFE7D98" w14:textId="77777777" w:rsidR="00070D19" w:rsidRPr="00A33A28" w:rsidRDefault="00070D19" w:rsidP="00653141">
            <w:pPr>
              <w:jc w:val="center"/>
              <w:rPr>
                <w:rFonts w:ascii="Times New Roman" w:hAnsi="Times New Roman" w:cs="Times New Roman"/>
                <w:b/>
                <w:sz w:val="20"/>
                <w:szCs w:val="20"/>
              </w:rPr>
            </w:pPr>
            <w:r w:rsidRPr="00A33A28">
              <w:rPr>
                <w:rFonts w:ascii="Times New Roman" w:hAnsi="Times New Roman" w:cs="Times New Roman"/>
                <w:b/>
                <w:sz w:val="20"/>
                <w:szCs w:val="20"/>
              </w:rPr>
              <w:t>2015-16</w:t>
            </w:r>
          </w:p>
        </w:tc>
        <w:tc>
          <w:tcPr>
            <w:tcW w:w="616" w:type="pct"/>
            <w:shd w:val="clear" w:color="auto" w:fill="548DD4" w:themeFill="text2" w:themeFillTint="99"/>
            <w:vAlign w:val="center"/>
          </w:tcPr>
          <w:p w14:paraId="71250509" w14:textId="77777777" w:rsidR="00070D19" w:rsidRPr="00A33A28" w:rsidRDefault="00070D19" w:rsidP="00653141">
            <w:pPr>
              <w:jc w:val="center"/>
              <w:rPr>
                <w:rFonts w:ascii="Times New Roman" w:hAnsi="Times New Roman" w:cs="Times New Roman"/>
                <w:b/>
                <w:sz w:val="20"/>
                <w:szCs w:val="20"/>
              </w:rPr>
            </w:pPr>
            <w:r w:rsidRPr="00A33A28">
              <w:rPr>
                <w:rFonts w:ascii="Times New Roman" w:hAnsi="Times New Roman" w:cs="Times New Roman"/>
                <w:b/>
                <w:sz w:val="20"/>
                <w:szCs w:val="20"/>
              </w:rPr>
              <w:t>2014-15</w:t>
            </w:r>
          </w:p>
        </w:tc>
      </w:tr>
      <w:tr w:rsidR="00070D19" w:rsidRPr="00A33A28" w14:paraId="4F100A4C" w14:textId="77777777" w:rsidTr="00653141">
        <w:trPr>
          <w:tblHeader/>
          <w:jc w:val="center"/>
        </w:trPr>
        <w:tc>
          <w:tcPr>
            <w:tcW w:w="1994" w:type="pct"/>
            <w:vAlign w:val="center"/>
          </w:tcPr>
          <w:p w14:paraId="7419CF0C"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Kvalita verejných inštitúcií</w:t>
            </w:r>
          </w:p>
        </w:tc>
        <w:tc>
          <w:tcPr>
            <w:tcW w:w="616" w:type="pct"/>
            <w:vAlign w:val="center"/>
          </w:tcPr>
          <w:p w14:paraId="1D29082E"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93</w:t>
            </w:r>
          </w:p>
        </w:tc>
        <w:tc>
          <w:tcPr>
            <w:tcW w:w="539" w:type="pct"/>
            <w:vAlign w:val="center"/>
          </w:tcPr>
          <w:p w14:paraId="4A2B9A43" w14:textId="77777777" w:rsidR="00070D19" w:rsidRPr="00A33A28" w:rsidRDefault="00070D19" w:rsidP="00653141">
            <w:pPr>
              <w:jc w:val="center"/>
              <w:rPr>
                <w:rFonts w:ascii="Times New Roman" w:eastAsia="Times New Roman" w:hAnsi="Times New Roman" w:cs="Times New Roman"/>
                <w:noProof/>
                <w:sz w:val="20"/>
                <w:szCs w:val="20"/>
                <w:lang w:eastAsia="sk-SK"/>
              </w:rPr>
            </w:pPr>
            <w:r w:rsidRPr="00A33A28">
              <w:rPr>
                <w:rFonts w:ascii="Times New Roman" w:eastAsia="Times New Roman" w:hAnsi="Times New Roman" w:cs="Times New Roman"/>
                <w:noProof/>
                <w:sz w:val="20"/>
                <w:szCs w:val="20"/>
                <w:lang w:eastAsia="sk-SK"/>
              </w:rPr>
              <w:drawing>
                <wp:inline distT="0" distB="0" distL="0" distR="0" wp14:anchorId="300BCF32" wp14:editId="50186FA7">
                  <wp:extent cx="104775" cy="123825"/>
                  <wp:effectExtent l="0" t="0" r="9525" b="9525"/>
                  <wp:docPr id="2056" name="Obrázok 2056" descr="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up"/>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A33A28">
              <w:rPr>
                <w:rFonts w:ascii="Times New Roman" w:hAnsi="Times New Roman" w:cs="Times New Roman"/>
                <w:sz w:val="20"/>
                <w:szCs w:val="20"/>
              </w:rPr>
              <w:t>9</w:t>
            </w:r>
          </w:p>
        </w:tc>
        <w:tc>
          <w:tcPr>
            <w:tcW w:w="616" w:type="pct"/>
            <w:vAlign w:val="center"/>
          </w:tcPr>
          <w:p w14:paraId="05C9D61C"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102</w:t>
            </w:r>
          </w:p>
        </w:tc>
        <w:tc>
          <w:tcPr>
            <w:tcW w:w="618" w:type="pct"/>
            <w:vAlign w:val="center"/>
          </w:tcPr>
          <w:p w14:paraId="2B279484"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104</w:t>
            </w:r>
          </w:p>
        </w:tc>
        <w:tc>
          <w:tcPr>
            <w:tcW w:w="616" w:type="pct"/>
            <w:vAlign w:val="center"/>
          </w:tcPr>
          <w:p w14:paraId="2879431A"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110</w:t>
            </w:r>
          </w:p>
        </w:tc>
      </w:tr>
      <w:tr w:rsidR="00070D19" w:rsidRPr="00A33A28" w14:paraId="38D674B3" w14:textId="77777777" w:rsidTr="00653141">
        <w:trPr>
          <w:tblHeader/>
          <w:jc w:val="center"/>
        </w:trPr>
        <w:tc>
          <w:tcPr>
            <w:tcW w:w="1994" w:type="pct"/>
            <w:vAlign w:val="center"/>
          </w:tcPr>
          <w:p w14:paraId="3567D4E2"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Infraštruktúra</w:t>
            </w:r>
          </w:p>
        </w:tc>
        <w:tc>
          <w:tcPr>
            <w:tcW w:w="616" w:type="pct"/>
            <w:vAlign w:val="center"/>
          </w:tcPr>
          <w:p w14:paraId="6B5EC2AF"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63</w:t>
            </w:r>
          </w:p>
        </w:tc>
        <w:tc>
          <w:tcPr>
            <w:tcW w:w="539" w:type="pct"/>
            <w:vAlign w:val="center"/>
          </w:tcPr>
          <w:p w14:paraId="2D5F9296" w14:textId="77777777" w:rsidR="00070D19" w:rsidRPr="00A33A28" w:rsidRDefault="00070D19" w:rsidP="00653141">
            <w:pPr>
              <w:jc w:val="center"/>
              <w:rPr>
                <w:rFonts w:ascii="Times New Roman" w:hAnsi="Times New Roman" w:cs="Times New Roman"/>
                <w:sz w:val="20"/>
                <w:szCs w:val="20"/>
              </w:rPr>
            </w:pPr>
            <w:r w:rsidRPr="00A33A28">
              <w:rPr>
                <w:rFonts w:ascii="Times New Roman" w:eastAsia="Times New Roman" w:hAnsi="Times New Roman" w:cs="Times New Roman"/>
                <w:noProof/>
                <w:sz w:val="20"/>
                <w:szCs w:val="20"/>
                <w:lang w:eastAsia="sk-SK"/>
              </w:rPr>
              <w:drawing>
                <wp:inline distT="0" distB="0" distL="0" distR="0" wp14:anchorId="5480463D" wp14:editId="58137391">
                  <wp:extent cx="104775" cy="123825"/>
                  <wp:effectExtent l="0" t="0" r="9525" b="9525"/>
                  <wp:docPr id="2057" name="Obrázok 2057" descr="dow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wn"/>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A33A28">
              <w:rPr>
                <w:rFonts w:ascii="Times New Roman" w:hAnsi="Times New Roman" w:cs="Times New Roman"/>
                <w:sz w:val="20"/>
                <w:szCs w:val="20"/>
              </w:rPr>
              <w:t>2</w:t>
            </w:r>
          </w:p>
        </w:tc>
        <w:tc>
          <w:tcPr>
            <w:tcW w:w="616" w:type="pct"/>
            <w:vAlign w:val="center"/>
          </w:tcPr>
          <w:p w14:paraId="46874442"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61</w:t>
            </w:r>
          </w:p>
        </w:tc>
        <w:tc>
          <w:tcPr>
            <w:tcW w:w="618" w:type="pct"/>
            <w:vAlign w:val="center"/>
          </w:tcPr>
          <w:p w14:paraId="4E52618E"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57</w:t>
            </w:r>
          </w:p>
        </w:tc>
        <w:tc>
          <w:tcPr>
            <w:tcW w:w="616" w:type="pct"/>
            <w:vAlign w:val="center"/>
          </w:tcPr>
          <w:p w14:paraId="49756CA9"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64</w:t>
            </w:r>
          </w:p>
        </w:tc>
      </w:tr>
      <w:tr w:rsidR="00070D19" w:rsidRPr="00A33A28" w14:paraId="445EACB6" w14:textId="77777777" w:rsidTr="00653141">
        <w:trPr>
          <w:tblHeader/>
          <w:jc w:val="center"/>
        </w:trPr>
        <w:tc>
          <w:tcPr>
            <w:tcW w:w="1994" w:type="pct"/>
            <w:vAlign w:val="center"/>
          </w:tcPr>
          <w:p w14:paraId="1647C0AF"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Makroekonomické prostredie</w:t>
            </w:r>
          </w:p>
        </w:tc>
        <w:tc>
          <w:tcPr>
            <w:tcW w:w="616" w:type="pct"/>
            <w:vAlign w:val="center"/>
          </w:tcPr>
          <w:p w14:paraId="59B7C241"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35</w:t>
            </w:r>
          </w:p>
        </w:tc>
        <w:tc>
          <w:tcPr>
            <w:tcW w:w="539" w:type="pct"/>
            <w:vAlign w:val="center"/>
          </w:tcPr>
          <w:p w14:paraId="79A418CB" w14:textId="77777777" w:rsidR="00070D19" w:rsidRPr="00A33A28" w:rsidRDefault="00070D19" w:rsidP="00653141">
            <w:pPr>
              <w:jc w:val="center"/>
              <w:rPr>
                <w:rFonts w:ascii="Times New Roman" w:eastAsia="Times New Roman" w:hAnsi="Times New Roman" w:cs="Times New Roman"/>
                <w:noProof/>
                <w:sz w:val="20"/>
                <w:szCs w:val="20"/>
                <w:lang w:eastAsia="sk-SK"/>
              </w:rPr>
            </w:pPr>
            <w:r w:rsidRPr="00A33A28">
              <w:rPr>
                <w:rFonts w:ascii="Times New Roman" w:eastAsia="Times New Roman" w:hAnsi="Times New Roman" w:cs="Times New Roman"/>
                <w:noProof/>
                <w:sz w:val="20"/>
                <w:szCs w:val="20"/>
                <w:lang w:eastAsia="sk-SK"/>
              </w:rPr>
              <w:drawing>
                <wp:inline distT="0" distB="0" distL="0" distR="0" wp14:anchorId="7D45609B" wp14:editId="69981FD4">
                  <wp:extent cx="104775" cy="123825"/>
                  <wp:effectExtent l="0" t="0" r="9525" b="9525"/>
                  <wp:docPr id="27" name="Obrázok 27" descr="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up"/>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A33A28">
              <w:rPr>
                <w:rFonts w:ascii="Times New Roman" w:hAnsi="Times New Roman" w:cs="Times New Roman"/>
                <w:sz w:val="20"/>
                <w:szCs w:val="20"/>
              </w:rPr>
              <w:t>2</w:t>
            </w:r>
          </w:p>
        </w:tc>
        <w:tc>
          <w:tcPr>
            <w:tcW w:w="616" w:type="pct"/>
            <w:vAlign w:val="center"/>
          </w:tcPr>
          <w:p w14:paraId="27581424"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37</w:t>
            </w:r>
          </w:p>
        </w:tc>
        <w:tc>
          <w:tcPr>
            <w:tcW w:w="618" w:type="pct"/>
            <w:vAlign w:val="center"/>
          </w:tcPr>
          <w:p w14:paraId="79096E3C"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41</w:t>
            </w:r>
          </w:p>
        </w:tc>
        <w:tc>
          <w:tcPr>
            <w:tcW w:w="616" w:type="pct"/>
            <w:vAlign w:val="center"/>
          </w:tcPr>
          <w:p w14:paraId="79D6E6BC"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45</w:t>
            </w:r>
          </w:p>
        </w:tc>
      </w:tr>
      <w:tr w:rsidR="00070D19" w:rsidRPr="00A33A28" w14:paraId="62E1F2BA" w14:textId="77777777" w:rsidTr="00653141">
        <w:trPr>
          <w:tblHeader/>
          <w:jc w:val="center"/>
        </w:trPr>
        <w:tc>
          <w:tcPr>
            <w:tcW w:w="1994" w:type="pct"/>
            <w:vAlign w:val="center"/>
          </w:tcPr>
          <w:p w14:paraId="7F14AA0A"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Zdravie a základné vzdelávanie</w:t>
            </w:r>
          </w:p>
        </w:tc>
        <w:tc>
          <w:tcPr>
            <w:tcW w:w="616" w:type="pct"/>
            <w:vAlign w:val="center"/>
          </w:tcPr>
          <w:p w14:paraId="56CC3F5D"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47</w:t>
            </w:r>
          </w:p>
        </w:tc>
        <w:tc>
          <w:tcPr>
            <w:tcW w:w="539" w:type="pct"/>
            <w:vAlign w:val="center"/>
          </w:tcPr>
          <w:p w14:paraId="74A7A4D4" w14:textId="77777777" w:rsidR="00070D19" w:rsidRPr="00A33A28" w:rsidRDefault="00070D19" w:rsidP="00653141">
            <w:pPr>
              <w:jc w:val="center"/>
              <w:rPr>
                <w:rFonts w:ascii="Times New Roman" w:eastAsia="Times New Roman" w:hAnsi="Times New Roman" w:cs="Times New Roman"/>
                <w:noProof/>
                <w:sz w:val="20"/>
                <w:szCs w:val="20"/>
                <w:lang w:eastAsia="sk-SK"/>
              </w:rPr>
            </w:pPr>
            <w:r w:rsidRPr="00A33A28">
              <w:rPr>
                <w:rFonts w:ascii="Times New Roman" w:eastAsia="Times New Roman" w:hAnsi="Times New Roman" w:cs="Times New Roman"/>
                <w:noProof/>
                <w:sz w:val="20"/>
                <w:szCs w:val="20"/>
                <w:lang w:eastAsia="sk-SK"/>
              </w:rPr>
              <w:drawing>
                <wp:inline distT="0" distB="0" distL="0" distR="0" wp14:anchorId="0C09FC3C" wp14:editId="761E32B4">
                  <wp:extent cx="104775" cy="123825"/>
                  <wp:effectExtent l="0" t="0" r="9525" b="9525"/>
                  <wp:docPr id="2058" name="Obrázok 2058" descr="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up"/>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A33A28">
              <w:rPr>
                <w:rFonts w:ascii="Times New Roman" w:hAnsi="Times New Roman" w:cs="Times New Roman"/>
                <w:sz w:val="20"/>
                <w:szCs w:val="20"/>
              </w:rPr>
              <w:t>8</w:t>
            </w:r>
          </w:p>
        </w:tc>
        <w:tc>
          <w:tcPr>
            <w:tcW w:w="616" w:type="pct"/>
            <w:vAlign w:val="center"/>
          </w:tcPr>
          <w:p w14:paraId="5E6B553F"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55</w:t>
            </w:r>
          </w:p>
        </w:tc>
        <w:tc>
          <w:tcPr>
            <w:tcW w:w="618" w:type="pct"/>
            <w:vAlign w:val="center"/>
          </w:tcPr>
          <w:p w14:paraId="56B23205"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50</w:t>
            </w:r>
          </w:p>
        </w:tc>
        <w:tc>
          <w:tcPr>
            <w:tcW w:w="616" w:type="pct"/>
            <w:vAlign w:val="center"/>
          </w:tcPr>
          <w:p w14:paraId="0D35C562"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84</w:t>
            </w:r>
          </w:p>
        </w:tc>
      </w:tr>
      <w:tr w:rsidR="00070D19" w:rsidRPr="00A33A28" w14:paraId="27B1366F" w14:textId="77777777" w:rsidTr="00653141">
        <w:trPr>
          <w:tblHeader/>
          <w:jc w:val="center"/>
        </w:trPr>
        <w:tc>
          <w:tcPr>
            <w:tcW w:w="1994" w:type="pct"/>
            <w:vAlign w:val="center"/>
          </w:tcPr>
          <w:p w14:paraId="1129B745"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Vyššie vzdelávanie a prax</w:t>
            </w:r>
          </w:p>
        </w:tc>
        <w:tc>
          <w:tcPr>
            <w:tcW w:w="616" w:type="pct"/>
            <w:vAlign w:val="center"/>
          </w:tcPr>
          <w:p w14:paraId="0868828C"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62</w:t>
            </w:r>
          </w:p>
        </w:tc>
        <w:tc>
          <w:tcPr>
            <w:tcW w:w="539" w:type="pct"/>
            <w:vAlign w:val="center"/>
          </w:tcPr>
          <w:p w14:paraId="2C64FC58" w14:textId="77777777" w:rsidR="00070D19" w:rsidRPr="00A33A28" w:rsidRDefault="00070D19" w:rsidP="00653141">
            <w:pPr>
              <w:jc w:val="center"/>
              <w:rPr>
                <w:rFonts w:ascii="Times New Roman" w:hAnsi="Times New Roman" w:cs="Times New Roman"/>
                <w:sz w:val="20"/>
                <w:szCs w:val="20"/>
              </w:rPr>
            </w:pPr>
            <w:r w:rsidRPr="00A33A28">
              <w:rPr>
                <w:rFonts w:ascii="Times New Roman" w:eastAsia="Times New Roman" w:hAnsi="Times New Roman" w:cs="Times New Roman"/>
                <w:noProof/>
                <w:sz w:val="20"/>
                <w:szCs w:val="20"/>
                <w:lang w:eastAsia="sk-SK"/>
              </w:rPr>
              <w:drawing>
                <wp:inline distT="0" distB="0" distL="0" distR="0" wp14:anchorId="7F8C2A55" wp14:editId="3F410454">
                  <wp:extent cx="104775" cy="123825"/>
                  <wp:effectExtent l="0" t="0" r="9525" b="9525"/>
                  <wp:docPr id="2059" name="Obrázok 2059" descr="dow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wn"/>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A33A28">
              <w:rPr>
                <w:rFonts w:ascii="Times New Roman" w:hAnsi="Times New Roman" w:cs="Times New Roman"/>
                <w:sz w:val="20"/>
                <w:szCs w:val="20"/>
              </w:rPr>
              <w:t>1</w:t>
            </w:r>
          </w:p>
        </w:tc>
        <w:tc>
          <w:tcPr>
            <w:tcW w:w="616" w:type="pct"/>
            <w:vAlign w:val="center"/>
          </w:tcPr>
          <w:p w14:paraId="39317A62"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61</w:t>
            </w:r>
          </w:p>
        </w:tc>
        <w:tc>
          <w:tcPr>
            <w:tcW w:w="618" w:type="pct"/>
            <w:vAlign w:val="center"/>
          </w:tcPr>
          <w:p w14:paraId="3A30E734"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53</w:t>
            </w:r>
          </w:p>
        </w:tc>
        <w:tc>
          <w:tcPr>
            <w:tcW w:w="616" w:type="pct"/>
            <w:vAlign w:val="center"/>
          </w:tcPr>
          <w:p w14:paraId="01229B6C"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56</w:t>
            </w:r>
          </w:p>
        </w:tc>
      </w:tr>
      <w:tr w:rsidR="00070D19" w:rsidRPr="00A33A28" w14:paraId="29ACABF2" w14:textId="77777777" w:rsidTr="00653141">
        <w:trPr>
          <w:tblHeader/>
          <w:jc w:val="center"/>
        </w:trPr>
        <w:tc>
          <w:tcPr>
            <w:tcW w:w="1994" w:type="pct"/>
            <w:vAlign w:val="center"/>
          </w:tcPr>
          <w:p w14:paraId="5481FCA4"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Efektívnosť trhu tovarov</w:t>
            </w:r>
          </w:p>
        </w:tc>
        <w:tc>
          <w:tcPr>
            <w:tcW w:w="616" w:type="pct"/>
            <w:vAlign w:val="center"/>
          </w:tcPr>
          <w:p w14:paraId="19C60D63"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55</w:t>
            </w:r>
          </w:p>
        </w:tc>
        <w:tc>
          <w:tcPr>
            <w:tcW w:w="539" w:type="pct"/>
            <w:vAlign w:val="center"/>
          </w:tcPr>
          <w:p w14:paraId="5DFC5D0A" w14:textId="77777777" w:rsidR="00070D19" w:rsidRPr="00A33A28" w:rsidRDefault="00070D19" w:rsidP="00653141">
            <w:pPr>
              <w:jc w:val="center"/>
              <w:rPr>
                <w:rFonts w:ascii="Times New Roman" w:hAnsi="Times New Roman" w:cs="Times New Roman"/>
                <w:sz w:val="20"/>
                <w:szCs w:val="20"/>
              </w:rPr>
            </w:pPr>
            <w:r w:rsidRPr="00A33A28">
              <w:rPr>
                <w:rFonts w:ascii="Times New Roman" w:eastAsia="Times New Roman" w:hAnsi="Times New Roman" w:cs="Times New Roman"/>
                <w:noProof/>
                <w:sz w:val="20"/>
                <w:szCs w:val="20"/>
                <w:lang w:eastAsia="sk-SK"/>
              </w:rPr>
              <w:drawing>
                <wp:inline distT="0" distB="0" distL="0" distR="0" wp14:anchorId="3C4FD153" wp14:editId="5D1E2994">
                  <wp:extent cx="104775" cy="123825"/>
                  <wp:effectExtent l="0" t="0" r="9525" b="9525"/>
                  <wp:docPr id="2060" name="Obrázok 2060" descr="dow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wn"/>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A33A28">
              <w:rPr>
                <w:rFonts w:ascii="Times New Roman" w:hAnsi="Times New Roman" w:cs="Times New Roman"/>
                <w:sz w:val="20"/>
                <w:szCs w:val="20"/>
              </w:rPr>
              <w:t>2</w:t>
            </w:r>
          </w:p>
        </w:tc>
        <w:tc>
          <w:tcPr>
            <w:tcW w:w="616" w:type="pct"/>
            <w:vAlign w:val="center"/>
          </w:tcPr>
          <w:p w14:paraId="358A2CD0"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53</w:t>
            </w:r>
          </w:p>
        </w:tc>
        <w:tc>
          <w:tcPr>
            <w:tcW w:w="618" w:type="pct"/>
            <w:vAlign w:val="center"/>
          </w:tcPr>
          <w:p w14:paraId="10E5FBC9"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54</w:t>
            </w:r>
          </w:p>
        </w:tc>
        <w:tc>
          <w:tcPr>
            <w:tcW w:w="616" w:type="pct"/>
            <w:vAlign w:val="center"/>
          </w:tcPr>
          <w:p w14:paraId="61F907CA"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66</w:t>
            </w:r>
          </w:p>
        </w:tc>
      </w:tr>
      <w:tr w:rsidR="00070D19" w:rsidRPr="00A33A28" w14:paraId="098D2443" w14:textId="77777777" w:rsidTr="00653141">
        <w:trPr>
          <w:tblHeader/>
          <w:jc w:val="center"/>
        </w:trPr>
        <w:tc>
          <w:tcPr>
            <w:tcW w:w="1994" w:type="pct"/>
            <w:vAlign w:val="center"/>
          </w:tcPr>
          <w:p w14:paraId="604D3B67"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Efektívnosť pracovného trhu</w:t>
            </w:r>
          </w:p>
        </w:tc>
        <w:tc>
          <w:tcPr>
            <w:tcW w:w="616" w:type="pct"/>
            <w:vAlign w:val="center"/>
          </w:tcPr>
          <w:p w14:paraId="0DECCC1E"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87</w:t>
            </w:r>
          </w:p>
        </w:tc>
        <w:tc>
          <w:tcPr>
            <w:tcW w:w="539" w:type="pct"/>
            <w:vAlign w:val="center"/>
          </w:tcPr>
          <w:p w14:paraId="505F4B60" w14:textId="77777777" w:rsidR="00070D19" w:rsidRPr="00A33A28" w:rsidRDefault="00070D19" w:rsidP="00653141">
            <w:pPr>
              <w:jc w:val="center"/>
              <w:rPr>
                <w:rFonts w:ascii="Times New Roman" w:hAnsi="Times New Roman" w:cs="Times New Roman"/>
                <w:sz w:val="20"/>
                <w:szCs w:val="20"/>
              </w:rPr>
            </w:pPr>
            <w:r w:rsidRPr="00A33A28">
              <w:rPr>
                <w:rFonts w:ascii="Times New Roman" w:eastAsia="Times New Roman" w:hAnsi="Times New Roman" w:cs="Times New Roman"/>
                <w:noProof/>
                <w:sz w:val="20"/>
                <w:szCs w:val="20"/>
                <w:lang w:eastAsia="sk-SK"/>
              </w:rPr>
              <w:drawing>
                <wp:inline distT="0" distB="0" distL="0" distR="0" wp14:anchorId="692DF718" wp14:editId="236D35E0">
                  <wp:extent cx="104775" cy="123825"/>
                  <wp:effectExtent l="0" t="0" r="9525" b="9525"/>
                  <wp:docPr id="17" name="Obrázok 17" descr="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up"/>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A33A28">
              <w:rPr>
                <w:rFonts w:ascii="Times New Roman" w:hAnsi="Times New Roman" w:cs="Times New Roman"/>
                <w:sz w:val="20"/>
                <w:szCs w:val="20"/>
              </w:rPr>
              <w:t>6</w:t>
            </w:r>
          </w:p>
        </w:tc>
        <w:tc>
          <w:tcPr>
            <w:tcW w:w="616" w:type="pct"/>
            <w:vAlign w:val="center"/>
          </w:tcPr>
          <w:p w14:paraId="72DB8FB8"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93</w:t>
            </w:r>
          </w:p>
        </w:tc>
        <w:tc>
          <w:tcPr>
            <w:tcW w:w="618" w:type="pct"/>
            <w:vAlign w:val="center"/>
          </w:tcPr>
          <w:p w14:paraId="6C256A9F"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100</w:t>
            </w:r>
          </w:p>
        </w:tc>
        <w:tc>
          <w:tcPr>
            <w:tcW w:w="616" w:type="pct"/>
            <w:vAlign w:val="center"/>
          </w:tcPr>
          <w:p w14:paraId="72783B70"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97</w:t>
            </w:r>
          </w:p>
        </w:tc>
      </w:tr>
      <w:tr w:rsidR="00070D19" w:rsidRPr="00A33A28" w14:paraId="55CEE569" w14:textId="77777777" w:rsidTr="00653141">
        <w:trPr>
          <w:tblHeader/>
          <w:jc w:val="center"/>
        </w:trPr>
        <w:tc>
          <w:tcPr>
            <w:tcW w:w="1994" w:type="pct"/>
            <w:vAlign w:val="center"/>
          </w:tcPr>
          <w:p w14:paraId="06B4D976"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Rozvinutosť finančného trhu</w:t>
            </w:r>
          </w:p>
        </w:tc>
        <w:tc>
          <w:tcPr>
            <w:tcW w:w="616" w:type="pct"/>
            <w:vAlign w:val="center"/>
          </w:tcPr>
          <w:p w14:paraId="63074368"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32</w:t>
            </w:r>
          </w:p>
        </w:tc>
        <w:tc>
          <w:tcPr>
            <w:tcW w:w="539" w:type="pct"/>
            <w:vAlign w:val="center"/>
          </w:tcPr>
          <w:p w14:paraId="28B1C7D2" w14:textId="77777777" w:rsidR="00070D19" w:rsidRPr="00A33A28" w:rsidRDefault="00070D19" w:rsidP="00653141">
            <w:pPr>
              <w:jc w:val="center"/>
              <w:rPr>
                <w:rFonts w:ascii="Times New Roman" w:eastAsia="Times New Roman" w:hAnsi="Times New Roman" w:cs="Times New Roman"/>
                <w:noProof/>
                <w:sz w:val="20"/>
                <w:szCs w:val="20"/>
                <w:lang w:eastAsia="sk-SK"/>
              </w:rPr>
            </w:pPr>
            <w:r w:rsidRPr="00A33A28">
              <w:rPr>
                <w:rFonts w:ascii="Times New Roman" w:eastAsia="Times New Roman" w:hAnsi="Times New Roman" w:cs="Times New Roman"/>
                <w:noProof/>
                <w:sz w:val="20"/>
                <w:szCs w:val="20"/>
                <w:lang w:eastAsia="sk-SK"/>
              </w:rPr>
              <w:drawing>
                <wp:inline distT="0" distB="0" distL="0" distR="0" wp14:anchorId="2FB8AA44" wp14:editId="5A68CF03">
                  <wp:extent cx="104775" cy="123825"/>
                  <wp:effectExtent l="0" t="0" r="9525" b="9525"/>
                  <wp:docPr id="2061" name="Obrázok 2061" descr="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up"/>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A33A28">
              <w:rPr>
                <w:rFonts w:ascii="Times New Roman" w:hAnsi="Times New Roman" w:cs="Times New Roman"/>
                <w:sz w:val="20"/>
                <w:szCs w:val="20"/>
              </w:rPr>
              <w:t>1</w:t>
            </w:r>
          </w:p>
        </w:tc>
        <w:tc>
          <w:tcPr>
            <w:tcW w:w="616" w:type="pct"/>
            <w:vAlign w:val="center"/>
          </w:tcPr>
          <w:p w14:paraId="474B915D"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33</w:t>
            </w:r>
          </w:p>
        </w:tc>
        <w:tc>
          <w:tcPr>
            <w:tcW w:w="618" w:type="pct"/>
            <w:vAlign w:val="center"/>
          </w:tcPr>
          <w:p w14:paraId="391480F7"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35</w:t>
            </w:r>
          </w:p>
        </w:tc>
        <w:tc>
          <w:tcPr>
            <w:tcW w:w="616" w:type="pct"/>
            <w:vAlign w:val="center"/>
          </w:tcPr>
          <w:p w14:paraId="62A457F3"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39</w:t>
            </w:r>
          </w:p>
        </w:tc>
      </w:tr>
      <w:tr w:rsidR="00070D19" w:rsidRPr="00A33A28" w14:paraId="3F8851C7" w14:textId="77777777" w:rsidTr="00653141">
        <w:trPr>
          <w:tblHeader/>
          <w:jc w:val="center"/>
        </w:trPr>
        <w:tc>
          <w:tcPr>
            <w:tcW w:w="1994" w:type="pct"/>
            <w:vAlign w:val="center"/>
          </w:tcPr>
          <w:p w14:paraId="7D43C8B4"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Technologická pripravenosť</w:t>
            </w:r>
          </w:p>
        </w:tc>
        <w:tc>
          <w:tcPr>
            <w:tcW w:w="616" w:type="pct"/>
            <w:vAlign w:val="center"/>
          </w:tcPr>
          <w:p w14:paraId="2C77A03F"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42</w:t>
            </w:r>
          </w:p>
        </w:tc>
        <w:tc>
          <w:tcPr>
            <w:tcW w:w="539" w:type="pct"/>
            <w:vAlign w:val="center"/>
          </w:tcPr>
          <w:p w14:paraId="044B584C" w14:textId="77777777" w:rsidR="00070D19" w:rsidRPr="00A33A28" w:rsidRDefault="00070D19" w:rsidP="00653141">
            <w:pPr>
              <w:jc w:val="center"/>
              <w:rPr>
                <w:rFonts w:ascii="Times New Roman" w:eastAsia="Times New Roman" w:hAnsi="Times New Roman" w:cs="Times New Roman"/>
                <w:noProof/>
                <w:sz w:val="20"/>
                <w:szCs w:val="20"/>
                <w:lang w:eastAsia="sk-SK"/>
              </w:rPr>
            </w:pPr>
            <w:r w:rsidRPr="00A33A28">
              <w:rPr>
                <w:rFonts w:ascii="Times New Roman" w:eastAsia="Times New Roman" w:hAnsi="Times New Roman" w:cs="Times New Roman"/>
                <w:noProof/>
                <w:sz w:val="20"/>
                <w:szCs w:val="20"/>
                <w:lang w:eastAsia="sk-SK"/>
              </w:rPr>
              <w:drawing>
                <wp:inline distT="0" distB="0" distL="0" distR="0" wp14:anchorId="01DA9DE8" wp14:editId="3AE86B67">
                  <wp:extent cx="104775" cy="123825"/>
                  <wp:effectExtent l="0" t="0" r="9525" b="9525"/>
                  <wp:docPr id="2062" name="Obrázok 2062" descr="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up"/>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A33A28">
              <w:rPr>
                <w:rFonts w:ascii="Times New Roman" w:hAnsi="Times New Roman" w:cs="Times New Roman"/>
                <w:sz w:val="20"/>
                <w:szCs w:val="20"/>
              </w:rPr>
              <w:t>2</w:t>
            </w:r>
          </w:p>
        </w:tc>
        <w:tc>
          <w:tcPr>
            <w:tcW w:w="616" w:type="pct"/>
            <w:vAlign w:val="center"/>
          </w:tcPr>
          <w:p w14:paraId="5987130E"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44</w:t>
            </w:r>
          </w:p>
        </w:tc>
        <w:tc>
          <w:tcPr>
            <w:tcW w:w="618" w:type="pct"/>
            <w:vAlign w:val="center"/>
          </w:tcPr>
          <w:p w14:paraId="2DF2E9D0"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44</w:t>
            </w:r>
          </w:p>
        </w:tc>
        <w:tc>
          <w:tcPr>
            <w:tcW w:w="616" w:type="pct"/>
            <w:vAlign w:val="center"/>
          </w:tcPr>
          <w:p w14:paraId="5B008F5A"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52</w:t>
            </w:r>
          </w:p>
        </w:tc>
      </w:tr>
      <w:tr w:rsidR="00070D19" w:rsidRPr="00A33A28" w14:paraId="783C5534" w14:textId="77777777" w:rsidTr="00653141">
        <w:trPr>
          <w:tblHeader/>
          <w:jc w:val="center"/>
        </w:trPr>
        <w:tc>
          <w:tcPr>
            <w:tcW w:w="1994" w:type="pct"/>
            <w:vAlign w:val="center"/>
          </w:tcPr>
          <w:p w14:paraId="6BB61037"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Veľkosť trhu</w:t>
            </w:r>
          </w:p>
        </w:tc>
        <w:tc>
          <w:tcPr>
            <w:tcW w:w="616" w:type="pct"/>
            <w:vAlign w:val="center"/>
          </w:tcPr>
          <w:p w14:paraId="4298EE6A"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61</w:t>
            </w:r>
          </w:p>
        </w:tc>
        <w:tc>
          <w:tcPr>
            <w:tcW w:w="539" w:type="pct"/>
            <w:vAlign w:val="center"/>
          </w:tcPr>
          <w:p w14:paraId="7FFF29A7"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w:t>
            </w:r>
          </w:p>
        </w:tc>
        <w:tc>
          <w:tcPr>
            <w:tcW w:w="616" w:type="pct"/>
            <w:vAlign w:val="center"/>
          </w:tcPr>
          <w:p w14:paraId="7AEDE101"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61</w:t>
            </w:r>
          </w:p>
        </w:tc>
        <w:tc>
          <w:tcPr>
            <w:tcW w:w="618" w:type="pct"/>
            <w:vAlign w:val="center"/>
          </w:tcPr>
          <w:p w14:paraId="12DDCE97"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62</w:t>
            </w:r>
          </w:p>
        </w:tc>
        <w:tc>
          <w:tcPr>
            <w:tcW w:w="616" w:type="pct"/>
            <w:vAlign w:val="center"/>
          </w:tcPr>
          <w:p w14:paraId="624B27A2"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58</w:t>
            </w:r>
          </w:p>
        </w:tc>
      </w:tr>
      <w:tr w:rsidR="00070D19" w:rsidRPr="00A33A28" w14:paraId="08EB0E12" w14:textId="77777777" w:rsidTr="00653141">
        <w:trPr>
          <w:tblHeader/>
          <w:jc w:val="center"/>
        </w:trPr>
        <w:tc>
          <w:tcPr>
            <w:tcW w:w="1994" w:type="pct"/>
            <w:vAlign w:val="center"/>
          </w:tcPr>
          <w:p w14:paraId="3D9DA68C"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Rozvinutosť podnikateľského prostredia</w:t>
            </w:r>
          </w:p>
        </w:tc>
        <w:tc>
          <w:tcPr>
            <w:tcW w:w="616" w:type="pct"/>
            <w:vAlign w:val="center"/>
          </w:tcPr>
          <w:p w14:paraId="640B3009"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54</w:t>
            </w:r>
          </w:p>
        </w:tc>
        <w:tc>
          <w:tcPr>
            <w:tcW w:w="539" w:type="pct"/>
            <w:vAlign w:val="center"/>
          </w:tcPr>
          <w:p w14:paraId="1C3EA7AF" w14:textId="77777777" w:rsidR="00070D19" w:rsidRPr="00A33A28" w:rsidRDefault="00070D19" w:rsidP="00653141">
            <w:pPr>
              <w:jc w:val="center"/>
              <w:rPr>
                <w:rFonts w:ascii="Times New Roman" w:eastAsia="Times New Roman" w:hAnsi="Times New Roman" w:cs="Times New Roman"/>
                <w:noProof/>
                <w:sz w:val="20"/>
                <w:szCs w:val="20"/>
                <w:lang w:eastAsia="sk-SK"/>
              </w:rPr>
            </w:pPr>
            <w:r w:rsidRPr="00A33A28">
              <w:rPr>
                <w:rFonts w:ascii="Times New Roman" w:eastAsia="Times New Roman" w:hAnsi="Times New Roman" w:cs="Times New Roman"/>
                <w:noProof/>
                <w:sz w:val="20"/>
                <w:szCs w:val="20"/>
                <w:lang w:eastAsia="sk-SK"/>
              </w:rPr>
              <w:drawing>
                <wp:inline distT="0" distB="0" distL="0" distR="0" wp14:anchorId="016D2903" wp14:editId="53CB135B">
                  <wp:extent cx="104775" cy="123825"/>
                  <wp:effectExtent l="0" t="0" r="9525" b="9525"/>
                  <wp:docPr id="2063" name="Obrázok 2063" descr="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up"/>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A33A28">
              <w:rPr>
                <w:rFonts w:ascii="Times New Roman" w:hAnsi="Times New Roman" w:cs="Times New Roman"/>
                <w:sz w:val="20"/>
                <w:szCs w:val="20"/>
              </w:rPr>
              <w:t>1</w:t>
            </w:r>
          </w:p>
        </w:tc>
        <w:tc>
          <w:tcPr>
            <w:tcW w:w="616" w:type="pct"/>
            <w:vAlign w:val="center"/>
          </w:tcPr>
          <w:p w14:paraId="2AB392F5"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55</w:t>
            </w:r>
          </w:p>
        </w:tc>
        <w:tc>
          <w:tcPr>
            <w:tcW w:w="618" w:type="pct"/>
            <w:vAlign w:val="center"/>
          </w:tcPr>
          <w:p w14:paraId="46198530"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57</w:t>
            </w:r>
          </w:p>
        </w:tc>
        <w:tc>
          <w:tcPr>
            <w:tcW w:w="616" w:type="pct"/>
            <w:vAlign w:val="center"/>
          </w:tcPr>
          <w:p w14:paraId="5C176784"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65</w:t>
            </w:r>
          </w:p>
        </w:tc>
      </w:tr>
      <w:tr w:rsidR="00070D19" w:rsidRPr="00A33A28" w14:paraId="02B83AA0" w14:textId="77777777" w:rsidTr="00653141">
        <w:trPr>
          <w:tblHeader/>
          <w:jc w:val="center"/>
        </w:trPr>
        <w:tc>
          <w:tcPr>
            <w:tcW w:w="1994" w:type="pct"/>
            <w:vAlign w:val="center"/>
          </w:tcPr>
          <w:p w14:paraId="3C877738"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Inovácie</w:t>
            </w:r>
          </w:p>
        </w:tc>
        <w:tc>
          <w:tcPr>
            <w:tcW w:w="616" w:type="pct"/>
            <w:vAlign w:val="center"/>
          </w:tcPr>
          <w:p w14:paraId="33F57F67"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67</w:t>
            </w:r>
          </w:p>
        </w:tc>
        <w:tc>
          <w:tcPr>
            <w:tcW w:w="539" w:type="pct"/>
            <w:vAlign w:val="center"/>
          </w:tcPr>
          <w:p w14:paraId="6C256702" w14:textId="77777777" w:rsidR="00070D19" w:rsidRPr="00A33A28" w:rsidRDefault="00070D19" w:rsidP="00653141">
            <w:pPr>
              <w:jc w:val="center"/>
              <w:rPr>
                <w:rFonts w:ascii="Times New Roman" w:eastAsia="Times New Roman" w:hAnsi="Times New Roman" w:cs="Times New Roman"/>
                <w:noProof/>
                <w:sz w:val="20"/>
                <w:szCs w:val="20"/>
                <w:lang w:eastAsia="sk-SK"/>
              </w:rPr>
            </w:pPr>
            <w:r w:rsidRPr="00A33A28">
              <w:rPr>
                <w:rFonts w:ascii="Times New Roman" w:eastAsia="Times New Roman" w:hAnsi="Times New Roman" w:cs="Times New Roman"/>
                <w:noProof/>
                <w:sz w:val="20"/>
                <w:szCs w:val="20"/>
                <w:lang w:eastAsia="sk-SK"/>
              </w:rPr>
              <w:drawing>
                <wp:inline distT="0" distB="0" distL="0" distR="0" wp14:anchorId="30B27DE6" wp14:editId="4A94BED0">
                  <wp:extent cx="104775" cy="123825"/>
                  <wp:effectExtent l="0" t="0" r="9525" b="9525"/>
                  <wp:docPr id="22" name="Obrázok 22" descr="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up"/>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A33A28">
              <w:rPr>
                <w:rFonts w:ascii="Times New Roman" w:hAnsi="Times New Roman" w:cs="Times New Roman"/>
                <w:sz w:val="20"/>
                <w:szCs w:val="20"/>
              </w:rPr>
              <w:t>1</w:t>
            </w:r>
          </w:p>
        </w:tc>
        <w:tc>
          <w:tcPr>
            <w:tcW w:w="616" w:type="pct"/>
            <w:vAlign w:val="center"/>
          </w:tcPr>
          <w:p w14:paraId="71EDBAB3"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68</w:t>
            </w:r>
          </w:p>
        </w:tc>
        <w:tc>
          <w:tcPr>
            <w:tcW w:w="618" w:type="pct"/>
            <w:vAlign w:val="center"/>
          </w:tcPr>
          <w:p w14:paraId="48205259"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66</w:t>
            </w:r>
          </w:p>
        </w:tc>
        <w:tc>
          <w:tcPr>
            <w:tcW w:w="616" w:type="pct"/>
            <w:vAlign w:val="center"/>
          </w:tcPr>
          <w:p w14:paraId="1B03FAC6"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78</w:t>
            </w:r>
          </w:p>
        </w:tc>
      </w:tr>
      <w:tr w:rsidR="00070D19" w:rsidRPr="00A33A28" w14:paraId="2CE359EA" w14:textId="77777777" w:rsidTr="00653141">
        <w:trPr>
          <w:tblHeader/>
          <w:jc w:val="center"/>
        </w:trPr>
        <w:tc>
          <w:tcPr>
            <w:tcW w:w="1994" w:type="pct"/>
            <w:shd w:val="clear" w:color="auto" w:fill="548DD4" w:themeFill="text2" w:themeFillTint="99"/>
            <w:vAlign w:val="center"/>
          </w:tcPr>
          <w:p w14:paraId="70ADC48B" w14:textId="77777777" w:rsidR="00070D19" w:rsidRPr="00A33A28" w:rsidRDefault="00070D19" w:rsidP="00653141">
            <w:pPr>
              <w:jc w:val="center"/>
              <w:rPr>
                <w:rFonts w:ascii="Times New Roman" w:hAnsi="Times New Roman" w:cs="Times New Roman"/>
                <w:b/>
                <w:sz w:val="20"/>
                <w:szCs w:val="20"/>
              </w:rPr>
            </w:pPr>
            <w:r w:rsidRPr="00A33A28">
              <w:rPr>
                <w:rFonts w:ascii="Times New Roman" w:hAnsi="Times New Roman" w:cs="Times New Roman"/>
                <w:b/>
                <w:sz w:val="20"/>
                <w:szCs w:val="20"/>
              </w:rPr>
              <w:t>Celkové umiestnenie SR</w:t>
            </w:r>
          </w:p>
        </w:tc>
        <w:tc>
          <w:tcPr>
            <w:tcW w:w="616" w:type="pct"/>
            <w:shd w:val="clear" w:color="auto" w:fill="548DD4" w:themeFill="text2" w:themeFillTint="99"/>
            <w:vAlign w:val="center"/>
          </w:tcPr>
          <w:p w14:paraId="555A0015" w14:textId="77777777" w:rsidR="00070D19" w:rsidRPr="00A33A28" w:rsidRDefault="00070D19" w:rsidP="00653141">
            <w:pPr>
              <w:jc w:val="center"/>
              <w:rPr>
                <w:rFonts w:ascii="Times New Roman" w:hAnsi="Times New Roman" w:cs="Times New Roman"/>
                <w:b/>
                <w:sz w:val="20"/>
                <w:szCs w:val="20"/>
              </w:rPr>
            </w:pPr>
            <w:r w:rsidRPr="00A33A28">
              <w:rPr>
                <w:rFonts w:ascii="Times New Roman" w:hAnsi="Times New Roman" w:cs="Times New Roman"/>
                <w:b/>
                <w:sz w:val="20"/>
                <w:szCs w:val="20"/>
              </w:rPr>
              <w:t>59</w:t>
            </w:r>
          </w:p>
        </w:tc>
        <w:tc>
          <w:tcPr>
            <w:tcW w:w="539" w:type="pct"/>
            <w:shd w:val="clear" w:color="auto" w:fill="548DD4" w:themeFill="text2" w:themeFillTint="99"/>
            <w:vAlign w:val="center"/>
          </w:tcPr>
          <w:p w14:paraId="78C212A5" w14:textId="77777777" w:rsidR="00070D19" w:rsidRPr="00A33A28" w:rsidRDefault="00070D19" w:rsidP="00653141">
            <w:pPr>
              <w:jc w:val="center"/>
              <w:rPr>
                <w:rFonts w:ascii="Times New Roman" w:hAnsi="Times New Roman" w:cs="Times New Roman"/>
                <w:b/>
                <w:sz w:val="20"/>
                <w:szCs w:val="20"/>
              </w:rPr>
            </w:pPr>
            <w:r w:rsidRPr="00A33A28">
              <w:rPr>
                <w:rFonts w:ascii="Times New Roman" w:eastAsia="Times New Roman" w:hAnsi="Times New Roman" w:cs="Times New Roman"/>
                <w:noProof/>
                <w:sz w:val="20"/>
                <w:szCs w:val="20"/>
                <w:lang w:eastAsia="sk-SK"/>
              </w:rPr>
              <w:drawing>
                <wp:inline distT="0" distB="0" distL="0" distR="0" wp14:anchorId="47691EBC" wp14:editId="26CCDEBA">
                  <wp:extent cx="104775" cy="123825"/>
                  <wp:effectExtent l="0" t="0" r="9525" b="9525"/>
                  <wp:docPr id="2064" name="Obrázok 2064" descr="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up"/>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A33A28">
              <w:rPr>
                <w:rFonts w:ascii="Times New Roman" w:hAnsi="Times New Roman" w:cs="Times New Roman"/>
                <w:sz w:val="20"/>
                <w:szCs w:val="20"/>
              </w:rPr>
              <w:t>6</w:t>
            </w:r>
          </w:p>
        </w:tc>
        <w:tc>
          <w:tcPr>
            <w:tcW w:w="616" w:type="pct"/>
            <w:shd w:val="clear" w:color="auto" w:fill="548DD4" w:themeFill="text2" w:themeFillTint="99"/>
            <w:vAlign w:val="center"/>
          </w:tcPr>
          <w:p w14:paraId="48524F28" w14:textId="77777777" w:rsidR="00070D19" w:rsidRPr="00A33A28" w:rsidRDefault="00070D19" w:rsidP="00653141">
            <w:pPr>
              <w:jc w:val="center"/>
              <w:rPr>
                <w:rFonts w:ascii="Times New Roman" w:hAnsi="Times New Roman" w:cs="Times New Roman"/>
                <w:b/>
                <w:sz w:val="20"/>
                <w:szCs w:val="20"/>
              </w:rPr>
            </w:pPr>
            <w:r w:rsidRPr="00A33A28">
              <w:rPr>
                <w:rFonts w:ascii="Times New Roman" w:hAnsi="Times New Roman" w:cs="Times New Roman"/>
                <w:b/>
                <w:sz w:val="20"/>
                <w:szCs w:val="20"/>
              </w:rPr>
              <w:t>65</w:t>
            </w:r>
          </w:p>
        </w:tc>
        <w:tc>
          <w:tcPr>
            <w:tcW w:w="618" w:type="pct"/>
            <w:shd w:val="clear" w:color="auto" w:fill="548DD4" w:themeFill="text2" w:themeFillTint="99"/>
            <w:vAlign w:val="center"/>
          </w:tcPr>
          <w:p w14:paraId="18B39E41" w14:textId="77777777" w:rsidR="00070D19" w:rsidRPr="00A33A28" w:rsidRDefault="00070D19" w:rsidP="00653141">
            <w:pPr>
              <w:jc w:val="center"/>
              <w:rPr>
                <w:rFonts w:ascii="Times New Roman" w:hAnsi="Times New Roman" w:cs="Times New Roman"/>
                <w:b/>
                <w:sz w:val="20"/>
                <w:szCs w:val="20"/>
              </w:rPr>
            </w:pPr>
            <w:r w:rsidRPr="00A33A28">
              <w:rPr>
                <w:rFonts w:ascii="Times New Roman" w:hAnsi="Times New Roman" w:cs="Times New Roman"/>
                <w:b/>
                <w:sz w:val="20"/>
                <w:szCs w:val="20"/>
              </w:rPr>
              <w:t>67</w:t>
            </w:r>
          </w:p>
        </w:tc>
        <w:tc>
          <w:tcPr>
            <w:tcW w:w="616" w:type="pct"/>
            <w:shd w:val="clear" w:color="auto" w:fill="548DD4" w:themeFill="text2" w:themeFillTint="99"/>
            <w:vAlign w:val="center"/>
          </w:tcPr>
          <w:p w14:paraId="3DCAEC98" w14:textId="77777777" w:rsidR="00070D19" w:rsidRPr="00A33A28" w:rsidRDefault="00070D19" w:rsidP="00653141">
            <w:pPr>
              <w:jc w:val="center"/>
              <w:rPr>
                <w:rFonts w:ascii="Times New Roman" w:hAnsi="Times New Roman" w:cs="Times New Roman"/>
                <w:b/>
                <w:sz w:val="20"/>
                <w:szCs w:val="20"/>
              </w:rPr>
            </w:pPr>
            <w:r w:rsidRPr="00A33A28">
              <w:rPr>
                <w:rFonts w:ascii="Times New Roman" w:hAnsi="Times New Roman" w:cs="Times New Roman"/>
                <w:b/>
                <w:sz w:val="20"/>
                <w:szCs w:val="20"/>
              </w:rPr>
              <w:t>75</w:t>
            </w:r>
          </w:p>
        </w:tc>
      </w:tr>
    </w:tbl>
    <w:p w14:paraId="28FD1F8E" w14:textId="77777777" w:rsidR="00070D19" w:rsidRPr="00A33A28" w:rsidRDefault="00070D19" w:rsidP="00070D19">
      <w:pPr>
        <w:spacing w:after="0" w:line="240" w:lineRule="auto"/>
        <w:jc w:val="both"/>
        <w:rPr>
          <w:rFonts w:ascii="Times New Roman" w:hAnsi="Times New Roman" w:cs="Times New Roman"/>
          <w:sz w:val="16"/>
          <w:szCs w:val="16"/>
        </w:rPr>
      </w:pPr>
      <w:r w:rsidRPr="00A33A28">
        <w:rPr>
          <w:rFonts w:ascii="Times New Roman" w:hAnsi="Times New Roman" w:cs="Times New Roman"/>
          <w:sz w:val="16"/>
          <w:szCs w:val="16"/>
        </w:rPr>
        <w:t xml:space="preserve">Zdroj: </w:t>
      </w:r>
      <w:proofErr w:type="spellStart"/>
      <w:r w:rsidRPr="00A33A28">
        <w:rPr>
          <w:rFonts w:ascii="Times New Roman" w:hAnsi="Times New Roman" w:cs="Times New Roman"/>
          <w:sz w:val="16"/>
          <w:szCs w:val="16"/>
        </w:rPr>
        <w:t>The</w:t>
      </w:r>
      <w:proofErr w:type="spellEnd"/>
      <w:r w:rsidRPr="00A33A28">
        <w:rPr>
          <w:rFonts w:ascii="Times New Roman" w:hAnsi="Times New Roman" w:cs="Times New Roman"/>
          <w:sz w:val="16"/>
          <w:szCs w:val="16"/>
        </w:rPr>
        <w:t xml:space="preserve"> </w:t>
      </w:r>
      <w:proofErr w:type="spellStart"/>
      <w:r w:rsidRPr="00A33A28">
        <w:rPr>
          <w:rFonts w:ascii="Times New Roman" w:hAnsi="Times New Roman" w:cs="Times New Roman"/>
          <w:sz w:val="16"/>
          <w:szCs w:val="16"/>
        </w:rPr>
        <w:t>Global</w:t>
      </w:r>
      <w:proofErr w:type="spellEnd"/>
      <w:r w:rsidRPr="00A33A28">
        <w:rPr>
          <w:rFonts w:ascii="Times New Roman" w:hAnsi="Times New Roman" w:cs="Times New Roman"/>
          <w:sz w:val="16"/>
          <w:szCs w:val="16"/>
        </w:rPr>
        <w:t xml:space="preserve"> </w:t>
      </w:r>
      <w:proofErr w:type="spellStart"/>
      <w:r w:rsidRPr="00A33A28">
        <w:rPr>
          <w:rFonts w:ascii="Times New Roman" w:hAnsi="Times New Roman" w:cs="Times New Roman"/>
          <w:sz w:val="16"/>
          <w:szCs w:val="16"/>
        </w:rPr>
        <w:t>Competitiveness</w:t>
      </w:r>
      <w:proofErr w:type="spellEnd"/>
      <w:r w:rsidRPr="00A33A28">
        <w:rPr>
          <w:rFonts w:ascii="Times New Roman" w:hAnsi="Times New Roman" w:cs="Times New Roman"/>
          <w:sz w:val="16"/>
          <w:szCs w:val="16"/>
        </w:rPr>
        <w:t xml:space="preserve"> Report WEF </w:t>
      </w:r>
    </w:p>
    <w:p w14:paraId="11B0513F" w14:textId="77777777" w:rsidR="00070D19" w:rsidRPr="00A33A28" w:rsidRDefault="00070D19" w:rsidP="00070D19">
      <w:pPr>
        <w:spacing w:after="0" w:line="240" w:lineRule="auto"/>
        <w:ind w:firstLine="709"/>
        <w:jc w:val="both"/>
        <w:rPr>
          <w:rFonts w:ascii="Times New Roman" w:eastAsia="Times New Roman" w:hAnsi="Times New Roman" w:cs="Times New Roman"/>
          <w:sz w:val="24"/>
          <w:szCs w:val="24"/>
          <w:lang w:eastAsia="sk-SK"/>
        </w:rPr>
      </w:pPr>
    </w:p>
    <w:p w14:paraId="34299C61" w14:textId="77777777" w:rsidR="00070D19" w:rsidRPr="00A33A28" w:rsidRDefault="00070D19" w:rsidP="00070D19">
      <w:pPr>
        <w:spacing w:after="0" w:line="240" w:lineRule="auto"/>
        <w:ind w:firstLine="709"/>
        <w:jc w:val="both"/>
        <w:rPr>
          <w:rFonts w:ascii="Times New Roman" w:eastAsia="Times New Roman" w:hAnsi="Times New Roman" w:cs="Times New Roman"/>
          <w:sz w:val="24"/>
          <w:szCs w:val="24"/>
          <w:lang w:eastAsia="sk-SK"/>
        </w:rPr>
      </w:pPr>
      <w:r w:rsidRPr="00A33A28">
        <w:rPr>
          <w:rFonts w:ascii="Times New Roman" w:eastAsia="Times New Roman" w:hAnsi="Times New Roman" w:cs="Times New Roman"/>
          <w:sz w:val="24"/>
          <w:szCs w:val="24"/>
          <w:lang w:eastAsia="sk-SK"/>
        </w:rPr>
        <w:t xml:space="preserve">Medzi najlepšie hodnotené indikátory v rebríčku konkurencieschopnosti krajín patria: stupeň rozvoja finančného trhu (32. miesto), makroekonomické prostredie (35. miesto) </w:t>
      </w:r>
      <w:r w:rsidRPr="00A33A28">
        <w:rPr>
          <w:rFonts w:ascii="Times New Roman" w:eastAsia="Times New Roman" w:hAnsi="Times New Roman" w:cs="Times New Roman"/>
          <w:sz w:val="24"/>
          <w:szCs w:val="24"/>
          <w:lang w:eastAsia="sk-SK"/>
        </w:rPr>
        <w:br/>
        <w:t xml:space="preserve">a technologická pripravenosť (42. miesto).V tomto rebríčku podnikatelia na Slovensku najhoršie hodnotili kvalitu verejných inštitúcií, efektívnosť trhu práce a úroveň inovácií v krajine. </w:t>
      </w:r>
    </w:p>
    <w:p w14:paraId="3B60FB72" w14:textId="77777777" w:rsidR="00070D19" w:rsidRPr="00A33A28" w:rsidRDefault="00070D19" w:rsidP="00070D19">
      <w:pPr>
        <w:spacing w:after="0" w:line="240" w:lineRule="auto"/>
        <w:ind w:firstLine="709"/>
        <w:jc w:val="both"/>
        <w:rPr>
          <w:rFonts w:ascii="Times New Roman" w:eastAsia="Times New Roman" w:hAnsi="Times New Roman" w:cs="Times New Roman"/>
          <w:sz w:val="24"/>
          <w:szCs w:val="24"/>
          <w:lang w:eastAsia="sk-SK"/>
        </w:rPr>
      </w:pPr>
      <w:r w:rsidRPr="00A33A28">
        <w:rPr>
          <w:rFonts w:ascii="Times New Roman" w:eastAsia="Times New Roman" w:hAnsi="Times New Roman" w:cs="Times New Roman"/>
          <w:sz w:val="24"/>
          <w:szCs w:val="24"/>
          <w:lang w:eastAsia="sk-SK"/>
        </w:rPr>
        <w:t xml:space="preserve">K výraznému zlepšeniu došlo napríklad v týchto oblastiach: ochota delegovať právomoci (zlepšenie o 33 priečok), vplyv zdaňovania na záujem o investície (zlepšenie o 24 priečok), efektívnosť vládnych výdavkov (zlepšenie o 24 priečok), priemerná prenosová rýchlosť internetu (zlepšenie o 21 priečok), ochrana záujmov menšinových vlastníkov (zlepšenie o 18 priečok), flexibilita pri určovaní mzdy (zlepšenie o 14 priečok), či počet mobilných liniek (zlepšenie </w:t>
      </w:r>
      <w:r w:rsidRPr="00A33A28">
        <w:rPr>
          <w:rFonts w:ascii="Times New Roman" w:eastAsia="Times New Roman" w:hAnsi="Times New Roman" w:cs="Times New Roman"/>
          <w:sz w:val="24"/>
          <w:szCs w:val="24"/>
          <w:lang w:eastAsia="sk-SK"/>
        </w:rPr>
        <w:br/>
        <w:t xml:space="preserve">o 14 priečok). </w:t>
      </w:r>
    </w:p>
    <w:p w14:paraId="129B25D3" w14:textId="77777777" w:rsidR="00070D19" w:rsidRPr="00A33A28" w:rsidRDefault="00070D19" w:rsidP="00070D19">
      <w:pPr>
        <w:spacing w:after="0" w:line="240" w:lineRule="auto"/>
        <w:ind w:firstLine="709"/>
        <w:jc w:val="both"/>
        <w:rPr>
          <w:rFonts w:ascii="Times New Roman" w:eastAsia="Times New Roman" w:hAnsi="Times New Roman" w:cs="Times New Roman"/>
          <w:sz w:val="24"/>
          <w:szCs w:val="24"/>
          <w:lang w:eastAsia="sk-SK"/>
        </w:rPr>
      </w:pPr>
      <w:r w:rsidRPr="00A33A28">
        <w:rPr>
          <w:rFonts w:ascii="Times New Roman" w:eastAsia="Times New Roman" w:hAnsi="Times New Roman" w:cs="Times New Roman"/>
          <w:sz w:val="24"/>
          <w:szCs w:val="24"/>
          <w:lang w:eastAsia="sk-SK"/>
        </w:rPr>
        <w:t>Zo strednodobého vývoja je možné pozorovať dlhodobý pokles v indikátore vyššie vzdelávanie a prax, čo si vyžaduje aktívnejší prístup MŠVVŠ SR a MPSVR SR.</w:t>
      </w:r>
    </w:p>
    <w:p w14:paraId="6506C839" w14:textId="77777777" w:rsidR="00070D19" w:rsidRPr="00A33A28" w:rsidRDefault="00070D19" w:rsidP="00070D19">
      <w:pPr>
        <w:spacing w:after="0" w:line="240" w:lineRule="auto"/>
        <w:ind w:firstLine="709"/>
        <w:jc w:val="both"/>
        <w:rPr>
          <w:rFonts w:ascii="Times New Roman" w:eastAsia="Times New Roman" w:hAnsi="Times New Roman" w:cs="Times New Roman"/>
          <w:sz w:val="24"/>
          <w:szCs w:val="24"/>
          <w:lang w:eastAsia="sk-SK"/>
        </w:rPr>
      </w:pPr>
    </w:p>
    <w:p w14:paraId="6BA668E4" w14:textId="77777777" w:rsidR="00070D19" w:rsidRPr="00A33A28" w:rsidRDefault="00070D19" w:rsidP="00070D19">
      <w:pPr>
        <w:spacing w:after="0" w:line="240" w:lineRule="auto"/>
        <w:contextualSpacing/>
        <w:jc w:val="both"/>
        <w:rPr>
          <w:rFonts w:ascii="Times New Roman" w:eastAsia="Times New Roman" w:hAnsi="Times New Roman" w:cs="Times New Roman"/>
          <w:sz w:val="24"/>
          <w:szCs w:val="24"/>
          <w:lang w:eastAsia="sk-SK"/>
        </w:rPr>
      </w:pPr>
    </w:p>
    <w:p w14:paraId="6A12DE6C" w14:textId="77777777" w:rsidR="00070D19" w:rsidRPr="00A33A28" w:rsidRDefault="00070D19" w:rsidP="00070D19">
      <w:pPr>
        <w:pStyle w:val="Odsekzoznamu"/>
        <w:numPr>
          <w:ilvl w:val="1"/>
          <w:numId w:val="4"/>
        </w:numPr>
        <w:tabs>
          <w:tab w:val="left" w:pos="426"/>
        </w:tabs>
        <w:ind w:left="0" w:firstLine="0"/>
        <w:rPr>
          <w:rFonts w:ascii="Times New Roman" w:eastAsia="Times New Roman" w:hAnsi="Times New Roman" w:cs="Times New Roman"/>
          <w:b/>
          <w:sz w:val="24"/>
          <w:szCs w:val="24"/>
          <w:lang w:eastAsia="sk-SK"/>
        </w:rPr>
      </w:pPr>
      <w:r w:rsidRPr="00A33A28">
        <w:rPr>
          <w:rFonts w:ascii="Times New Roman" w:hAnsi="Times New Roman" w:cs="Times New Roman"/>
          <w:b/>
          <w:sz w:val="24"/>
          <w:szCs w:val="24"/>
        </w:rPr>
        <w:lastRenderedPageBreak/>
        <w:t xml:space="preserve">Výsledky </w:t>
      </w:r>
      <w:r w:rsidRPr="00A33A28">
        <w:rPr>
          <w:rFonts w:ascii="Times New Roman" w:eastAsia="Times New Roman" w:hAnsi="Times New Roman" w:cs="Times New Roman"/>
          <w:b/>
          <w:sz w:val="24"/>
          <w:szCs w:val="24"/>
          <w:lang w:eastAsia="sk-SK"/>
        </w:rPr>
        <w:t>prieskumu</w:t>
      </w:r>
      <w:r w:rsidRPr="00A33A28" w:rsidDel="00CE5457">
        <w:rPr>
          <w:rFonts w:ascii="Times New Roman" w:hAnsi="Times New Roman" w:cs="Times New Roman"/>
          <w:b/>
          <w:sz w:val="24"/>
          <w:szCs w:val="24"/>
        </w:rPr>
        <w:t xml:space="preserve"> </w:t>
      </w:r>
      <w:r w:rsidRPr="00A33A28">
        <w:rPr>
          <w:rFonts w:ascii="Times New Roman" w:hAnsi="Times New Roman" w:cs="Times New Roman"/>
          <w:b/>
          <w:sz w:val="24"/>
          <w:szCs w:val="24"/>
        </w:rPr>
        <w:t>Globálneho monitoringu podnikania (</w:t>
      </w:r>
      <w:r w:rsidRPr="00A33A28">
        <w:rPr>
          <w:rFonts w:ascii="Times New Roman" w:eastAsia="Times New Roman" w:hAnsi="Times New Roman" w:cs="Times New Roman"/>
          <w:b/>
          <w:sz w:val="24"/>
          <w:szCs w:val="24"/>
          <w:lang w:eastAsia="sk-SK"/>
        </w:rPr>
        <w:t>„</w:t>
      </w:r>
      <w:proofErr w:type="spellStart"/>
      <w:r w:rsidRPr="00A33A28">
        <w:rPr>
          <w:rFonts w:ascii="Times New Roman" w:eastAsia="Times New Roman" w:hAnsi="Times New Roman" w:cs="Times New Roman"/>
          <w:b/>
          <w:sz w:val="24"/>
          <w:szCs w:val="24"/>
          <w:lang w:eastAsia="sk-SK"/>
        </w:rPr>
        <w:t>Global</w:t>
      </w:r>
      <w:proofErr w:type="spellEnd"/>
      <w:r w:rsidRPr="00A33A28">
        <w:rPr>
          <w:rFonts w:ascii="Times New Roman" w:eastAsia="Times New Roman" w:hAnsi="Times New Roman" w:cs="Times New Roman"/>
          <w:b/>
          <w:sz w:val="24"/>
          <w:szCs w:val="24"/>
          <w:lang w:eastAsia="sk-SK"/>
        </w:rPr>
        <w:t xml:space="preserve"> </w:t>
      </w:r>
      <w:proofErr w:type="spellStart"/>
      <w:r w:rsidRPr="00A33A28">
        <w:rPr>
          <w:rFonts w:ascii="Times New Roman" w:eastAsia="Times New Roman" w:hAnsi="Times New Roman" w:cs="Times New Roman"/>
          <w:b/>
          <w:sz w:val="24"/>
          <w:szCs w:val="24"/>
          <w:lang w:eastAsia="sk-SK"/>
        </w:rPr>
        <w:t>Entrepreneurship</w:t>
      </w:r>
      <w:proofErr w:type="spellEnd"/>
      <w:r w:rsidRPr="00A33A28">
        <w:rPr>
          <w:rFonts w:ascii="Times New Roman" w:eastAsia="Times New Roman" w:hAnsi="Times New Roman" w:cs="Times New Roman"/>
          <w:b/>
          <w:sz w:val="24"/>
          <w:szCs w:val="24"/>
          <w:lang w:eastAsia="sk-SK"/>
        </w:rPr>
        <w:t xml:space="preserve"> Monitor“)</w:t>
      </w:r>
    </w:p>
    <w:p w14:paraId="70EBCF24" w14:textId="77777777" w:rsidR="00070D19" w:rsidRDefault="00070D19" w:rsidP="00070D19">
      <w:pPr>
        <w:tabs>
          <w:tab w:val="left" w:pos="426"/>
        </w:tabs>
        <w:spacing w:after="0" w:line="240" w:lineRule="auto"/>
        <w:ind w:firstLine="709"/>
        <w:jc w:val="both"/>
        <w:rPr>
          <w:rFonts w:ascii="Times New Roman" w:eastAsia="Times New Roman" w:hAnsi="Times New Roman" w:cs="Times New Roman"/>
          <w:sz w:val="24"/>
          <w:szCs w:val="24"/>
          <w:lang w:eastAsia="sk-SK"/>
        </w:rPr>
      </w:pPr>
    </w:p>
    <w:p w14:paraId="2176863A" w14:textId="77777777" w:rsidR="00070D19" w:rsidRPr="00A33A28" w:rsidRDefault="00070D19" w:rsidP="00070D19">
      <w:pPr>
        <w:tabs>
          <w:tab w:val="left" w:pos="426"/>
        </w:tabs>
        <w:spacing w:after="0" w:line="240" w:lineRule="auto"/>
        <w:ind w:firstLine="709"/>
        <w:jc w:val="both"/>
        <w:rPr>
          <w:rFonts w:ascii="Times New Roman" w:eastAsia="Times New Roman" w:hAnsi="Times New Roman" w:cs="Times New Roman"/>
          <w:sz w:val="24"/>
          <w:szCs w:val="24"/>
          <w:lang w:eastAsia="sk-SK"/>
        </w:rPr>
      </w:pPr>
      <w:r w:rsidRPr="00A33A28">
        <w:rPr>
          <w:rFonts w:ascii="Times New Roman" w:eastAsia="Times New Roman" w:hAnsi="Times New Roman" w:cs="Times New Roman"/>
          <w:sz w:val="24"/>
          <w:szCs w:val="24"/>
          <w:lang w:eastAsia="sk-SK"/>
        </w:rPr>
        <w:t xml:space="preserve">Prieskum GEM predstavuje ďalšiu z významnejších svetových štúdií o dynamike podnikania. Do najaktuálnejšieho hodnotenia bolo zapojených 54 krajín (oproti minuloročnému hodnoteniu došlo k zníženiu zapojených krajín o 11, oproti pôvodným 65 krajinám, ktoré boli hodnotené v rámci prieskumu v rokoch 2016 – 2017). Na Slovensku je národným koordinátorom pre tento výskum Fakulta managementu Univerzity Komenského v Bratislave. </w:t>
      </w:r>
    </w:p>
    <w:p w14:paraId="5B081325" w14:textId="77777777" w:rsidR="00070D19" w:rsidRPr="00A33A28" w:rsidRDefault="00070D19" w:rsidP="00070D19">
      <w:pPr>
        <w:spacing w:after="0" w:line="240" w:lineRule="auto"/>
        <w:ind w:firstLine="709"/>
        <w:jc w:val="both"/>
        <w:rPr>
          <w:rFonts w:ascii="Times New Roman" w:eastAsia="Times New Roman" w:hAnsi="Times New Roman" w:cs="Times New Roman"/>
          <w:sz w:val="24"/>
          <w:szCs w:val="24"/>
          <w:lang w:eastAsia="sk-SK"/>
        </w:rPr>
      </w:pPr>
      <w:r w:rsidRPr="00A33A28">
        <w:rPr>
          <w:rFonts w:ascii="Times New Roman" w:eastAsia="Times New Roman" w:hAnsi="Times New Roman" w:cs="Times New Roman"/>
          <w:sz w:val="24"/>
          <w:szCs w:val="24"/>
          <w:lang w:eastAsia="sk-SK"/>
        </w:rPr>
        <w:t xml:space="preserve">Hodnotenie vychádza z kombinácie prieskumu na úrovni dospelej populácie (skúma </w:t>
      </w:r>
      <w:r w:rsidRPr="00A33A28">
        <w:rPr>
          <w:rFonts w:ascii="Times New Roman" w:eastAsia="Times New Roman" w:hAnsi="Times New Roman" w:cs="Times New Roman"/>
          <w:sz w:val="24"/>
          <w:szCs w:val="24"/>
          <w:lang w:eastAsia="sk-SK"/>
        </w:rPr>
        <w:br/>
        <w:t xml:space="preserve">sa podnikateľské správanie jednotlivcov na základe štandardizovaného dotazníka na vzorke minimálne 2 000 respondentov) a národného expertného prieskumu (skúma podnikateľské prostredie opierajúc sa o odpovede profesionálne zadefinovanej štruktúry expertov rovnakej pre každú krajinu). </w:t>
      </w:r>
    </w:p>
    <w:p w14:paraId="5FD3557F" w14:textId="77777777" w:rsidR="00070D19" w:rsidRPr="00A33A28" w:rsidRDefault="00070D19" w:rsidP="00070D19">
      <w:pPr>
        <w:spacing w:after="0" w:line="240" w:lineRule="auto"/>
        <w:ind w:firstLine="709"/>
        <w:jc w:val="both"/>
        <w:rPr>
          <w:rFonts w:ascii="Times New Roman" w:eastAsia="Times New Roman" w:hAnsi="Times New Roman" w:cs="Times New Roman"/>
          <w:sz w:val="24"/>
          <w:szCs w:val="24"/>
          <w:lang w:eastAsia="sk-SK"/>
        </w:rPr>
      </w:pPr>
      <w:r w:rsidRPr="00A33A28">
        <w:rPr>
          <w:rFonts w:ascii="Times New Roman" w:eastAsia="Times New Roman" w:hAnsi="Times New Roman" w:cs="Times New Roman"/>
          <w:sz w:val="24"/>
          <w:szCs w:val="24"/>
          <w:lang w:eastAsia="sk-SK"/>
        </w:rPr>
        <w:t xml:space="preserve">Podnikateľské prostredie je rozpracované v podobe komplexného súboru tzv. kľúčových rámcových podmienok na podnikanie, ktoré predstavujú základný rámec podnikateľského prostredia. </w:t>
      </w:r>
    </w:p>
    <w:p w14:paraId="4983C7EC" w14:textId="77777777" w:rsidR="00070D19" w:rsidRPr="00A33A28" w:rsidRDefault="00070D19" w:rsidP="00070D19">
      <w:pPr>
        <w:spacing w:after="0" w:line="240" w:lineRule="auto"/>
        <w:jc w:val="both"/>
        <w:rPr>
          <w:rFonts w:ascii="Times New Roman" w:hAnsi="Times New Roman" w:cs="Times New Roman"/>
          <w:b/>
        </w:rPr>
      </w:pPr>
    </w:p>
    <w:p w14:paraId="5F9979F4" w14:textId="77777777" w:rsidR="00070D19" w:rsidRPr="00A33A28" w:rsidRDefault="00070D19" w:rsidP="00070D19">
      <w:pPr>
        <w:spacing w:after="0" w:line="240" w:lineRule="auto"/>
        <w:jc w:val="both"/>
        <w:rPr>
          <w:rFonts w:ascii="Times New Roman" w:hAnsi="Times New Roman" w:cs="Times New Roman"/>
          <w:b/>
        </w:rPr>
      </w:pPr>
      <w:r w:rsidRPr="00A33A28">
        <w:rPr>
          <w:rFonts w:ascii="Times New Roman" w:hAnsi="Times New Roman" w:cs="Times New Roman"/>
          <w:b/>
        </w:rPr>
        <w:t>Tabuľka 2.3.1 Umiestnenie SR v jednotlivých kľúčových rámcových podmienok na podnikanie v rámci prieskumu Globálny monitoring podnikania v rokoch 2014 – 2018</w:t>
      </w:r>
    </w:p>
    <w:p w14:paraId="1DE881F3" w14:textId="77777777" w:rsidR="00070D19" w:rsidRPr="00A33A28" w:rsidRDefault="00070D19" w:rsidP="00070D19">
      <w:pPr>
        <w:spacing w:after="0" w:line="240" w:lineRule="auto"/>
        <w:jc w:val="both"/>
        <w:rPr>
          <w:rFonts w:ascii="Times New Roman" w:hAnsi="Times New Roman" w:cs="Times New Roman"/>
          <w:b/>
        </w:rPr>
      </w:pPr>
    </w:p>
    <w:tbl>
      <w:tblPr>
        <w:tblStyle w:val="Mriekatabuky"/>
        <w:tblW w:w="4930" w:type="pct"/>
        <w:jc w:val="center"/>
        <w:tblLayout w:type="fixed"/>
        <w:tblLook w:val="04A0" w:firstRow="1" w:lastRow="0" w:firstColumn="1" w:lastColumn="0" w:noHBand="0" w:noVBand="1"/>
      </w:tblPr>
      <w:tblGrid>
        <w:gridCol w:w="4884"/>
        <w:gridCol w:w="1170"/>
        <w:gridCol w:w="1019"/>
        <w:gridCol w:w="1136"/>
        <w:gridCol w:w="1229"/>
      </w:tblGrid>
      <w:tr w:rsidR="00070D19" w:rsidRPr="00A33A28" w14:paraId="59D04E59" w14:textId="77777777" w:rsidTr="00653141">
        <w:trPr>
          <w:tblHeader/>
          <w:jc w:val="center"/>
        </w:trPr>
        <w:tc>
          <w:tcPr>
            <w:tcW w:w="2587" w:type="pct"/>
            <w:vMerge w:val="restart"/>
            <w:shd w:val="clear" w:color="auto" w:fill="548DD4" w:themeFill="text2" w:themeFillTint="99"/>
            <w:vAlign w:val="center"/>
          </w:tcPr>
          <w:p w14:paraId="7BCE07DD" w14:textId="77777777" w:rsidR="00070D19" w:rsidRPr="00A33A28" w:rsidRDefault="00070D19" w:rsidP="00653141">
            <w:pPr>
              <w:jc w:val="center"/>
              <w:rPr>
                <w:rFonts w:ascii="Times New Roman" w:hAnsi="Times New Roman" w:cs="Times New Roman"/>
                <w:b/>
                <w:sz w:val="20"/>
                <w:szCs w:val="20"/>
              </w:rPr>
            </w:pPr>
            <w:r w:rsidRPr="00A33A28">
              <w:rPr>
                <w:rFonts w:ascii="Times New Roman" w:hAnsi="Times New Roman" w:cs="Times New Roman"/>
                <w:b/>
                <w:sz w:val="20"/>
                <w:szCs w:val="20"/>
              </w:rPr>
              <w:t>Kľúčové rámcové podmienky na podnikanie</w:t>
            </w:r>
          </w:p>
        </w:tc>
        <w:tc>
          <w:tcPr>
            <w:tcW w:w="2413" w:type="pct"/>
            <w:gridSpan w:val="4"/>
            <w:shd w:val="clear" w:color="auto" w:fill="548DD4" w:themeFill="text2" w:themeFillTint="99"/>
            <w:vAlign w:val="center"/>
          </w:tcPr>
          <w:p w14:paraId="2A109928" w14:textId="77777777" w:rsidR="00070D19" w:rsidRPr="00A33A28" w:rsidRDefault="00070D19" w:rsidP="00653141">
            <w:pPr>
              <w:jc w:val="center"/>
              <w:rPr>
                <w:rFonts w:ascii="Times New Roman" w:hAnsi="Times New Roman" w:cs="Times New Roman"/>
                <w:b/>
                <w:sz w:val="20"/>
                <w:szCs w:val="20"/>
              </w:rPr>
            </w:pPr>
            <w:r w:rsidRPr="00A33A28">
              <w:rPr>
                <w:rFonts w:ascii="Times New Roman" w:hAnsi="Times New Roman" w:cs="Times New Roman"/>
                <w:b/>
                <w:sz w:val="20"/>
                <w:szCs w:val="20"/>
              </w:rPr>
              <w:t>Rok hodnotenia a pozícia v rebríčku</w:t>
            </w:r>
          </w:p>
        </w:tc>
      </w:tr>
      <w:tr w:rsidR="00070D19" w:rsidRPr="00A33A28" w14:paraId="44D72694" w14:textId="77777777" w:rsidTr="00653141">
        <w:trPr>
          <w:tblHeader/>
          <w:jc w:val="center"/>
        </w:trPr>
        <w:tc>
          <w:tcPr>
            <w:tcW w:w="2587" w:type="pct"/>
            <w:vMerge/>
            <w:shd w:val="clear" w:color="auto" w:fill="548DD4" w:themeFill="text2" w:themeFillTint="99"/>
            <w:vAlign w:val="center"/>
          </w:tcPr>
          <w:p w14:paraId="275A9CBA" w14:textId="77777777" w:rsidR="00070D19" w:rsidRPr="00A33A28" w:rsidRDefault="00070D19" w:rsidP="00653141">
            <w:pPr>
              <w:jc w:val="center"/>
              <w:rPr>
                <w:rFonts w:ascii="Times New Roman" w:hAnsi="Times New Roman" w:cs="Times New Roman"/>
                <w:b/>
                <w:sz w:val="20"/>
                <w:szCs w:val="20"/>
              </w:rPr>
            </w:pPr>
          </w:p>
        </w:tc>
        <w:tc>
          <w:tcPr>
            <w:tcW w:w="620" w:type="pct"/>
            <w:shd w:val="clear" w:color="auto" w:fill="548DD4" w:themeFill="text2" w:themeFillTint="99"/>
            <w:vAlign w:val="center"/>
          </w:tcPr>
          <w:p w14:paraId="5A3B50BA" w14:textId="77777777" w:rsidR="00070D19" w:rsidRPr="00A33A28" w:rsidRDefault="00070D19" w:rsidP="00653141">
            <w:pPr>
              <w:jc w:val="center"/>
              <w:rPr>
                <w:rFonts w:ascii="Times New Roman" w:hAnsi="Times New Roman" w:cs="Times New Roman"/>
                <w:b/>
                <w:sz w:val="20"/>
                <w:szCs w:val="20"/>
              </w:rPr>
            </w:pPr>
            <w:r w:rsidRPr="00A33A28">
              <w:rPr>
                <w:rFonts w:ascii="Times New Roman" w:hAnsi="Times New Roman" w:cs="Times New Roman"/>
                <w:b/>
                <w:sz w:val="20"/>
                <w:szCs w:val="20"/>
              </w:rPr>
              <w:t>2017-18</w:t>
            </w:r>
          </w:p>
        </w:tc>
        <w:tc>
          <w:tcPr>
            <w:tcW w:w="540" w:type="pct"/>
            <w:shd w:val="clear" w:color="auto" w:fill="548DD4" w:themeFill="text2" w:themeFillTint="99"/>
            <w:vAlign w:val="center"/>
          </w:tcPr>
          <w:p w14:paraId="3094E283" w14:textId="77777777" w:rsidR="00070D19" w:rsidRPr="00A33A28" w:rsidRDefault="00070D19" w:rsidP="00653141">
            <w:pPr>
              <w:jc w:val="center"/>
              <w:rPr>
                <w:rFonts w:ascii="Times New Roman" w:hAnsi="Times New Roman" w:cs="Times New Roman"/>
                <w:b/>
                <w:sz w:val="20"/>
                <w:szCs w:val="20"/>
              </w:rPr>
            </w:pPr>
            <w:r w:rsidRPr="00A33A28">
              <w:rPr>
                <w:rFonts w:ascii="Times New Roman" w:hAnsi="Times New Roman" w:cs="Times New Roman"/>
                <w:b/>
                <w:sz w:val="20"/>
                <w:szCs w:val="20"/>
              </w:rPr>
              <w:t>Zmena</w:t>
            </w:r>
          </w:p>
        </w:tc>
        <w:tc>
          <w:tcPr>
            <w:tcW w:w="602" w:type="pct"/>
            <w:shd w:val="clear" w:color="auto" w:fill="548DD4" w:themeFill="text2" w:themeFillTint="99"/>
            <w:vAlign w:val="center"/>
          </w:tcPr>
          <w:p w14:paraId="5AC2877E" w14:textId="77777777" w:rsidR="00070D19" w:rsidRPr="00A33A28" w:rsidRDefault="00070D19" w:rsidP="00653141">
            <w:pPr>
              <w:jc w:val="center"/>
              <w:rPr>
                <w:rFonts w:ascii="Times New Roman" w:hAnsi="Times New Roman" w:cs="Times New Roman"/>
                <w:b/>
                <w:sz w:val="20"/>
                <w:szCs w:val="20"/>
              </w:rPr>
            </w:pPr>
            <w:r w:rsidRPr="00A33A28">
              <w:rPr>
                <w:rFonts w:ascii="Times New Roman" w:hAnsi="Times New Roman" w:cs="Times New Roman"/>
                <w:b/>
                <w:sz w:val="20"/>
                <w:szCs w:val="20"/>
              </w:rPr>
              <w:t>2016-17</w:t>
            </w:r>
          </w:p>
        </w:tc>
        <w:tc>
          <w:tcPr>
            <w:tcW w:w="651" w:type="pct"/>
            <w:shd w:val="clear" w:color="auto" w:fill="548DD4" w:themeFill="text2" w:themeFillTint="99"/>
            <w:vAlign w:val="center"/>
          </w:tcPr>
          <w:p w14:paraId="73D4C6AF" w14:textId="77777777" w:rsidR="00070D19" w:rsidRPr="00A33A28" w:rsidRDefault="00070D19" w:rsidP="00653141">
            <w:pPr>
              <w:jc w:val="center"/>
              <w:rPr>
                <w:rFonts w:ascii="Times New Roman" w:hAnsi="Times New Roman" w:cs="Times New Roman"/>
                <w:b/>
                <w:sz w:val="20"/>
                <w:szCs w:val="20"/>
              </w:rPr>
            </w:pPr>
            <w:r w:rsidRPr="00A33A28">
              <w:rPr>
                <w:rFonts w:ascii="Times New Roman" w:hAnsi="Times New Roman" w:cs="Times New Roman"/>
                <w:b/>
                <w:sz w:val="20"/>
                <w:szCs w:val="20"/>
              </w:rPr>
              <w:t>2015-16</w:t>
            </w:r>
          </w:p>
        </w:tc>
      </w:tr>
      <w:tr w:rsidR="00070D19" w:rsidRPr="00A33A28" w14:paraId="0AA4DB1F" w14:textId="77777777" w:rsidTr="00653141">
        <w:trPr>
          <w:tblHeader/>
          <w:jc w:val="center"/>
        </w:trPr>
        <w:tc>
          <w:tcPr>
            <w:tcW w:w="2587" w:type="pct"/>
            <w:vAlign w:val="center"/>
          </w:tcPr>
          <w:p w14:paraId="0CEFD11D" w14:textId="77777777" w:rsidR="00070D19" w:rsidRPr="00A33A28" w:rsidRDefault="00070D19" w:rsidP="00653141">
            <w:pPr>
              <w:jc w:val="center"/>
              <w:rPr>
                <w:rFonts w:ascii="Times New Roman" w:eastAsia="Times New Roman" w:hAnsi="Times New Roman" w:cs="Times New Roman"/>
                <w:sz w:val="20"/>
                <w:szCs w:val="20"/>
              </w:rPr>
            </w:pPr>
            <w:r w:rsidRPr="00A33A28">
              <w:rPr>
                <w:rFonts w:ascii="Times New Roman" w:eastAsia="Times New Roman" w:hAnsi="Times New Roman" w:cs="Times New Roman"/>
                <w:sz w:val="20"/>
                <w:szCs w:val="20"/>
                <w:lang w:eastAsia="sk-SK"/>
              </w:rPr>
              <w:t>Financovanie</w:t>
            </w:r>
          </w:p>
        </w:tc>
        <w:tc>
          <w:tcPr>
            <w:tcW w:w="620" w:type="pct"/>
            <w:vAlign w:val="center"/>
          </w:tcPr>
          <w:p w14:paraId="6735F4BD"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16</w:t>
            </w:r>
          </w:p>
        </w:tc>
        <w:tc>
          <w:tcPr>
            <w:tcW w:w="540" w:type="pct"/>
            <w:vAlign w:val="center"/>
          </w:tcPr>
          <w:p w14:paraId="1BFAE123" w14:textId="77777777" w:rsidR="00070D19" w:rsidRPr="00A33A28" w:rsidRDefault="00070D19" w:rsidP="00653141">
            <w:pPr>
              <w:jc w:val="center"/>
              <w:rPr>
                <w:rFonts w:ascii="Times New Roman" w:eastAsia="Times New Roman" w:hAnsi="Times New Roman" w:cs="Times New Roman"/>
                <w:noProof/>
                <w:sz w:val="20"/>
                <w:szCs w:val="20"/>
                <w:lang w:eastAsia="sk-SK"/>
              </w:rPr>
            </w:pPr>
            <w:r w:rsidRPr="00A33A28">
              <w:rPr>
                <w:rFonts w:ascii="Times New Roman" w:eastAsia="Times New Roman" w:hAnsi="Times New Roman" w:cs="Times New Roman"/>
                <w:noProof/>
                <w:sz w:val="20"/>
                <w:szCs w:val="20"/>
                <w:lang w:eastAsia="sk-SK"/>
              </w:rPr>
              <w:drawing>
                <wp:inline distT="0" distB="0" distL="0" distR="0" wp14:anchorId="1C89438A" wp14:editId="58F0C0ED">
                  <wp:extent cx="104775" cy="123825"/>
                  <wp:effectExtent l="0" t="0" r="9525" b="9525"/>
                  <wp:docPr id="52" name="Obrázok 2066" descr="dow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wn"/>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A33A28">
              <w:rPr>
                <w:rFonts w:ascii="Times New Roman" w:hAnsi="Times New Roman" w:cs="Times New Roman"/>
                <w:sz w:val="20"/>
                <w:szCs w:val="20"/>
              </w:rPr>
              <w:t>3</w:t>
            </w:r>
          </w:p>
        </w:tc>
        <w:tc>
          <w:tcPr>
            <w:tcW w:w="602" w:type="pct"/>
            <w:vAlign w:val="center"/>
          </w:tcPr>
          <w:p w14:paraId="029BB377"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13</w:t>
            </w:r>
          </w:p>
        </w:tc>
        <w:tc>
          <w:tcPr>
            <w:tcW w:w="651" w:type="pct"/>
            <w:vAlign w:val="center"/>
          </w:tcPr>
          <w:p w14:paraId="2A40951A"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24</w:t>
            </w:r>
          </w:p>
        </w:tc>
      </w:tr>
      <w:tr w:rsidR="00070D19" w:rsidRPr="00A33A28" w14:paraId="75B54AF5" w14:textId="77777777" w:rsidTr="00653141">
        <w:trPr>
          <w:tblHeader/>
          <w:jc w:val="center"/>
        </w:trPr>
        <w:tc>
          <w:tcPr>
            <w:tcW w:w="2587" w:type="pct"/>
            <w:vAlign w:val="center"/>
          </w:tcPr>
          <w:p w14:paraId="7176E21D" w14:textId="77777777" w:rsidR="00070D19" w:rsidRPr="00A33A28" w:rsidRDefault="00070D19" w:rsidP="00653141">
            <w:pPr>
              <w:jc w:val="center"/>
              <w:rPr>
                <w:rFonts w:ascii="Times New Roman" w:eastAsia="Times New Roman" w:hAnsi="Times New Roman" w:cs="Times New Roman"/>
                <w:sz w:val="20"/>
                <w:szCs w:val="20"/>
              </w:rPr>
            </w:pPr>
            <w:r w:rsidRPr="00A33A28">
              <w:rPr>
                <w:rFonts w:ascii="Times New Roman" w:eastAsia="Times New Roman" w:hAnsi="Times New Roman" w:cs="Times New Roman"/>
                <w:sz w:val="20"/>
                <w:szCs w:val="20"/>
                <w:lang w:eastAsia="sk-SK"/>
              </w:rPr>
              <w:t>Vládne politiky (konkrétne politiky, priority a podpora)</w:t>
            </w:r>
          </w:p>
        </w:tc>
        <w:tc>
          <w:tcPr>
            <w:tcW w:w="620" w:type="pct"/>
            <w:vAlign w:val="center"/>
          </w:tcPr>
          <w:p w14:paraId="78CD7907"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48</w:t>
            </w:r>
          </w:p>
        </w:tc>
        <w:tc>
          <w:tcPr>
            <w:tcW w:w="540" w:type="pct"/>
            <w:vAlign w:val="center"/>
          </w:tcPr>
          <w:p w14:paraId="7DA9038A" w14:textId="77777777" w:rsidR="00070D19" w:rsidRPr="00A33A28" w:rsidRDefault="00070D19" w:rsidP="00653141">
            <w:pPr>
              <w:jc w:val="center"/>
              <w:rPr>
                <w:rFonts w:ascii="Times New Roman" w:hAnsi="Times New Roman" w:cs="Times New Roman"/>
                <w:sz w:val="20"/>
                <w:szCs w:val="20"/>
              </w:rPr>
            </w:pPr>
            <w:r w:rsidRPr="00A33A28">
              <w:rPr>
                <w:rFonts w:ascii="Times New Roman" w:eastAsia="Times New Roman" w:hAnsi="Times New Roman" w:cs="Times New Roman"/>
                <w:noProof/>
                <w:sz w:val="20"/>
                <w:szCs w:val="20"/>
                <w:lang w:eastAsia="sk-SK"/>
              </w:rPr>
              <w:drawing>
                <wp:inline distT="0" distB="0" distL="0" distR="0" wp14:anchorId="27261BFE" wp14:editId="7C0C9538">
                  <wp:extent cx="104775" cy="123825"/>
                  <wp:effectExtent l="0" t="0" r="9525" b="9525"/>
                  <wp:docPr id="53" name="Obrázok 36" descr="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up"/>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A33A28">
              <w:rPr>
                <w:rFonts w:ascii="Times New Roman" w:hAnsi="Times New Roman" w:cs="Times New Roman"/>
                <w:sz w:val="20"/>
                <w:szCs w:val="20"/>
              </w:rPr>
              <w:t>15</w:t>
            </w:r>
          </w:p>
        </w:tc>
        <w:tc>
          <w:tcPr>
            <w:tcW w:w="602" w:type="pct"/>
            <w:vAlign w:val="center"/>
          </w:tcPr>
          <w:p w14:paraId="57F9CB07"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63</w:t>
            </w:r>
          </w:p>
        </w:tc>
        <w:tc>
          <w:tcPr>
            <w:tcW w:w="651" w:type="pct"/>
            <w:vAlign w:val="center"/>
          </w:tcPr>
          <w:p w14:paraId="24EEBC2A"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45</w:t>
            </w:r>
          </w:p>
        </w:tc>
      </w:tr>
      <w:tr w:rsidR="00070D19" w:rsidRPr="00A33A28" w14:paraId="12CB2C71" w14:textId="77777777" w:rsidTr="00653141">
        <w:trPr>
          <w:tblHeader/>
          <w:jc w:val="center"/>
        </w:trPr>
        <w:tc>
          <w:tcPr>
            <w:tcW w:w="2587" w:type="pct"/>
            <w:vAlign w:val="center"/>
          </w:tcPr>
          <w:p w14:paraId="47097F95" w14:textId="77777777" w:rsidR="00070D19" w:rsidRPr="00A33A28" w:rsidRDefault="00070D19" w:rsidP="00653141">
            <w:pPr>
              <w:jc w:val="center"/>
              <w:rPr>
                <w:rFonts w:ascii="Times New Roman" w:eastAsia="Times New Roman" w:hAnsi="Times New Roman" w:cs="Times New Roman"/>
                <w:sz w:val="20"/>
                <w:szCs w:val="20"/>
              </w:rPr>
            </w:pPr>
            <w:r w:rsidRPr="00A33A28">
              <w:rPr>
                <w:rFonts w:ascii="Times New Roman" w:eastAsia="Times New Roman" w:hAnsi="Times New Roman" w:cs="Times New Roman"/>
                <w:sz w:val="20"/>
                <w:szCs w:val="20"/>
                <w:lang w:eastAsia="sk-SK"/>
              </w:rPr>
              <w:t>Vládne politiky (byrokracia, dane)</w:t>
            </w:r>
          </w:p>
        </w:tc>
        <w:tc>
          <w:tcPr>
            <w:tcW w:w="620" w:type="pct"/>
            <w:vAlign w:val="center"/>
          </w:tcPr>
          <w:p w14:paraId="5270443B"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48</w:t>
            </w:r>
          </w:p>
        </w:tc>
        <w:tc>
          <w:tcPr>
            <w:tcW w:w="540" w:type="pct"/>
            <w:vAlign w:val="center"/>
          </w:tcPr>
          <w:p w14:paraId="37F661C0" w14:textId="77777777" w:rsidR="00070D19" w:rsidRPr="00A33A28" w:rsidRDefault="00070D19" w:rsidP="00653141">
            <w:pPr>
              <w:jc w:val="center"/>
              <w:rPr>
                <w:rFonts w:ascii="Times New Roman" w:eastAsia="Times New Roman" w:hAnsi="Times New Roman" w:cs="Times New Roman"/>
                <w:noProof/>
                <w:sz w:val="20"/>
                <w:szCs w:val="20"/>
                <w:lang w:eastAsia="sk-SK"/>
              </w:rPr>
            </w:pPr>
            <w:r w:rsidRPr="00A33A28">
              <w:rPr>
                <w:rFonts w:ascii="Times New Roman" w:eastAsia="Times New Roman" w:hAnsi="Times New Roman" w:cs="Times New Roman"/>
                <w:noProof/>
                <w:sz w:val="20"/>
                <w:szCs w:val="20"/>
                <w:lang w:eastAsia="sk-SK"/>
              </w:rPr>
              <w:drawing>
                <wp:inline distT="0" distB="0" distL="0" distR="0" wp14:anchorId="09C57D28" wp14:editId="785F2C16">
                  <wp:extent cx="104775" cy="123825"/>
                  <wp:effectExtent l="0" t="0" r="9525" b="9525"/>
                  <wp:docPr id="54" name="Obrázok 36" descr="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up"/>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A33A28">
              <w:rPr>
                <w:rFonts w:ascii="Times New Roman" w:hAnsi="Times New Roman" w:cs="Times New Roman"/>
                <w:sz w:val="20"/>
                <w:szCs w:val="20"/>
              </w:rPr>
              <w:t>2</w:t>
            </w:r>
          </w:p>
        </w:tc>
        <w:tc>
          <w:tcPr>
            <w:tcW w:w="602" w:type="pct"/>
            <w:vAlign w:val="center"/>
          </w:tcPr>
          <w:p w14:paraId="0210E62F"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50</w:t>
            </w:r>
          </w:p>
        </w:tc>
        <w:tc>
          <w:tcPr>
            <w:tcW w:w="651" w:type="pct"/>
            <w:vAlign w:val="center"/>
          </w:tcPr>
          <w:p w14:paraId="5D5B4DF9"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42</w:t>
            </w:r>
          </w:p>
        </w:tc>
      </w:tr>
      <w:tr w:rsidR="00070D19" w:rsidRPr="00A33A28" w14:paraId="5D9F73AE" w14:textId="77777777" w:rsidTr="00653141">
        <w:trPr>
          <w:tblHeader/>
          <w:jc w:val="center"/>
        </w:trPr>
        <w:tc>
          <w:tcPr>
            <w:tcW w:w="2587" w:type="pct"/>
            <w:vAlign w:val="center"/>
          </w:tcPr>
          <w:p w14:paraId="1774B382" w14:textId="77777777" w:rsidR="00070D19" w:rsidRPr="00A33A28" w:rsidRDefault="00070D19" w:rsidP="00653141">
            <w:pPr>
              <w:jc w:val="center"/>
              <w:rPr>
                <w:rFonts w:ascii="Times New Roman" w:eastAsia="Times New Roman" w:hAnsi="Times New Roman" w:cs="Times New Roman"/>
                <w:sz w:val="20"/>
                <w:szCs w:val="20"/>
              </w:rPr>
            </w:pPr>
            <w:r w:rsidRPr="00A33A28">
              <w:rPr>
                <w:rFonts w:ascii="Times New Roman" w:eastAsia="Times New Roman" w:hAnsi="Times New Roman" w:cs="Times New Roman"/>
                <w:sz w:val="20"/>
                <w:szCs w:val="20"/>
                <w:lang w:eastAsia="sk-SK"/>
              </w:rPr>
              <w:t>Vládne programy</w:t>
            </w:r>
          </w:p>
        </w:tc>
        <w:tc>
          <w:tcPr>
            <w:tcW w:w="620" w:type="pct"/>
            <w:vAlign w:val="center"/>
          </w:tcPr>
          <w:p w14:paraId="73174E80"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45</w:t>
            </w:r>
          </w:p>
        </w:tc>
        <w:tc>
          <w:tcPr>
            <w:tcW w:w="540" w:type="pct"/>
            <w:vAlign w:val="center"/>
          </w:tcPr>
          <w:p w14:paraId="602B8141" w14:textId="77777777" w:rsidR="00070D19" w:rsidRPr="00A33A28" w:rsidRDefault="00070D19" w:rsidP="00653141">
            <w:pPr>
              <w:jc w:val="center"/>
              <w:rPr>
                <w:rFonts w:ascii="Times New Roman" w:eastAsia="Times New Roman" w:hAnsi="Times New Roman" w:cs="Times New Roman"/>
                <w:noProof/>
                <w:sz w:val="20"/>
                <w:szCs w:val="20"/>
                <w:lang w:eastAsia="sk-SK"/>
              </w:rPr>
            </w:pPr>
            <w:r w:rsidRPr="00A33A28">
              <w:rPr>
                <w:rFonts w:ascii="Times New Roman" w:eastAsia="Times New Roman" w:hAnsi="Times New Roman" w:cs="Times New Roman"/>
                <w:noProof/>
                <w:sz w:val="20"/>
                <w:szCs w:val="20"/>
                <w:lang w:eastAsia="sk-SK"/>
              </w:rPr>
              <w:drawing>
                <wp:inline distT="0" distB="0" distL="0" distR="0" wp14:anchorId="762B4FE9" wp14:editId="76A58AAA">
                  <wp:extent cx="104775" cy="123825"/>
                  <wp:effectExtent l="0" t="0" r="9525" b="9525"/>
                  <wp:docPr id="55" name="Obrázok 36" descr="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up"/>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A33A28">
              <w:rPr>
                <w:rFonts w:ascii="Times New Roman" w:hAnsi="Times New Roman" w:cs="Times New Roman"/>
                <w:sz w:val="20"/>
                <w:szCs w:val="20"/>
              </w:rPr>
              <w:t>14</w:t>
            </w:r>
          </w:p>
        </w:tc>
        <w:tc>
          <w:tcPr>
            <w:tcW w:w="602" w:type="pct"/>
            <w:vAlign w:val="center"/>
          </w:tcPr>
          <w:p w14:paraId="000A8517"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59</w:t>
            </w:r>
          </w:p>
        </w:tc>
        <w:tc>
          <w:tcPr>
            <w:tcW w:w="651" w:type="pct"/>
            <w:vAlign w:val="center"/>
          </w:tcPr>
          <w:p w14:paraId="2EA07B1A"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44</w:t>
            </w:r>
          </w:p>
        </w:tc>
      </w:tr>
      <w:tr w:rsidR="00070D19" w:rsidRPr="00A33A28" w14:paraId="6876B977" w14:textId="77777777" w:rsidTr="00653141">
        <w:trPr>
          <w:tblHeader/>
          <w:jc w:val="center"/>
        </w:trPr>
        <w:tc>
          <w:tcPr>
            <w:tcW w:w="2587" w:type="pct"/>
            <w:vAlign w:val="center"/>
          </w:tcPr>
          <w:p w14:paraId="4925BC84" w14:textId="77777777" w:rsidR="00070D19" w:rsidRPr="00A33A28" w:rsidRDefault="00070D19" w:rsidP="00653141">
            <w:pPr>
              <w:jc w:val="center"/>
              <w:rPr>
                <w:rFonts w:ascii="Times New Roman" w:eastAsia="Times New Roman" w:hAnsi="Times New Roman" w:cs="Times New Roman"/>
                <w:sz w:val="20"/>
                <w:szCs w:val="20"/>
              </w:rPr>
            </w:pPr>
            <w:r w:rsidRPr="00A33A28">
              <w:rPr>
                <w:rFonts w:ascii="Times New Roman" w:eastAsia="Times New Roman" w:hAnsi="Times New Roman" w:cs="Times New Roman"/>
                <w:sz w:val="20"/>
                <w:szCs w:val="20"/>
                <w:lang w:eastAsia="sk-SK"/>
              </w:rPr>
              <w:t>Vzdelanie (základné a stredné)</w:t>
            </w:r>
          </w:p>
        </w:tc>
        <w:tc>
          <w:tcPr>
            <w:tcW w:w="620" w:type="pct"/>
            <w:vAlign w:val="center"/>
          </w:tcPr>
          <w:p w14:paraId="47BDF9C8"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20</w:t>
            </w:r>
          </w:p>
        </w:tc>
        <w:tc>
          <w:tcPr>
            <w:tcW w:w="540" w:type="pct"/>
            <w:vAlign w:val="center"/>
          </w:tcPr>
          <w:p w14:paraId="5E2441B9" w14:textId="77777777" w:rsidR="00070D19" w:rsidRPr="00A33A28" w:rsidRDefault="00070D19" w:rsidP="00653141">
            <w:pPr>
              <w:jc w:val="center"/>
              <w:rPr>
                <w:rFonts w:ascii="Times New Roman" w:hAnsi="Times New Roman" w:cs="Times New Roman"/>
                <w:sz w:val="20"/>
                <w:szCs w:val="20"/>
              </w:rPr>
            </w:pPr>
            <w:r w:rsidRPr="00A33A28">
              <w:rPr>
                <w:rFonts w:ascii="Times New Roman" w:eastAsia="Times New Roman" w:hAnsi="Times New Roman" w:cs="Times New Roman"/>
                <w:noProof/>
                <w:sz w:val="20"/>
                <w:szCs w:val="20"/>
                <w:lang w:eastAsia="sk-SK"/>
              </w:rPr>
              <w:drawing>
                <wp:inline distT="0" distB="0" distL="0" distR="0" wp14:anchorId="47C580B0" wp14:editId="7EE6AD2F">
                  <wp:extent cx="104775" cy="123825"/>
                  <wp:effectExtent l="0" t="0" r="9525" b="9525"/>
                  <wp:docPr id="45" name="Obrázok 36" descr="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up"/>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A33A28">
              <w:rPr>
                <w:rFonts w:ascii="Times New Roman" w:hAnsi="Times New Roman" w:cs="Times New Roman"/>
                <w:sz w:val="20"/>
                <w:szCs w:val="20"/>
              </w:rPr>
              <w:t>2</w:t>
            </w:r>
          </w:p>
        </w:tc>
        <w:tc>
          <w:tcPr>
            <w:tcW w:w="602" w:type="pct"/>
            <w:vAlign w:val="center"/>
          </w:tcPr>
          <w:p w14:paraId="2FFA4EC5"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22</w:t>
            </w:r>
          </w:p>
        </w:tc>
        <w:tc>
          <w:tcPr>
            <w:tcW w:w="651" w:type="pct"/>
            <w:vAlign w:val="center"/>
          </w:tcPr>
          <w:p w14:paraId="30AC9902"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27</w:t>
            </w:r>
          </w:p>
        </w:tc>
      </w:tr>
      <w:tr w:rsidR="00070D19" w:rsidRPr="00A33A28" w14:paraId="5FE12514" w14:textId="77777777" w:rsidTr="00653141">
        <w:trPr>
          <w:tblHeader/>
          <w:jc w:val="center"/>
        </w:trPr>
        <w:tc>
          <w:tcPr>
            <w:tcW w:w="2587" w:type="pct"/>
            <w:vAlign w:val="center"/>
          </w:tcPr>
          <w:p w14:paraId="2DB5FEF8" w14:textId="77777777" w:rsidR="00070D19" w:rsidRPr="00A33A28" w:rsidRDefault="00070D19" w:rsidP="00653141">
            <w:pPr>
              <w:jc w:val="center"/>
              <w:rPr>
                <w:rFonts w:ascii="Times New Roman" w:eastAsia="Times New Roman" w:hAnsi="Times New Roman" w:cs="Times New Roman"/>
                <w:sz w:val="20"/>
                <w:szCs w:val="20"/>
              </w:rPr>
            </w:pPr>
            <w:r w:rsidRPr="00A33A28">
              <w:rPr>
                <w:rFonts w:ascii="Times New Roman" w:eastAsia="Times New Roman" w:hAnsi="Times New Roman" w:cs="Times New Roman"/>
                <w:sz w:val="20"/>
                <w:szCs w:val="20"/>
                <w:lang w:eastAsia="sk-SK"/>
              </w:rPr>
              <w:t>Vzdelanie (odborné, profesijné, vysokoškolské)</w:t>
            </w:r>
          </w:p>
        </w:tc>
        <w:tc>
          <w:tcPr>
            <w:tcW w:w="620" w:type="pct"/>
            <w:vAlign w:val="center"/>
          </w:tcPr>
          <w:p w14:paraId="3A0349C9"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28</w:t>
            </w:r>
          </w:p>
        </w:tc>
        <w:tc>
          <w:tcPr>
            <w:tcW w:w="540" w:type="pct"/>
            <w:vAlign w:val="center"/>
          </w:tcPr>
          <w:p w14:paraId="2B3267C2" w14:textId="77777777" w:rsidR="00070D19" w:rsidRPr="00A33A28" w:rsidRDefault="00070D19" w:rsidP="00653141">
            <w:pPr>
              <w:jc w:val="center"/>
              <w:rPr>
                <w:rFonts w:ascii="Times New Roman" w:hAnsi="Times New Roman" w:cs="Times New Roman"/>
                <w:sz w:val="20"/>
                <w:szCs w:val="20"/>
              </w:rPr>
            </w:pPr>
            <w:r w:rsidRPr="00A33A28">
              <w:rPr>
                <w:rFonts w:ascii="Times New Roman" w:eastAsia="Times New Roman" w:hAnsi="Times New Roman" w:cs="Times New Roman"/>
                <w:noProof/>
                <w:sz w:val="20"/>
                <w:szCs w:val="20"/>
                <w:lang w:eastAsia="sk-SK"/>
              </w:rPr>
              <w:drawing>
                <wp:inline distT="0" distB="0" distL="0" distR="0" wp14:anchorId="728EEEB0" wp14:editId="7067D7A3">
                  <wp:extent cx="104775" cy="123825"/>
                  <wp:effectExtent l="0" t="0" r="9525" b="9525"/>
                  <wp:docPr id="46" name="Obrázok 37" descr="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up"/>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A33A28">
              <w:rPr>
                <w:rFonts w:ascii="Times New Roman" w:hAnsi="Times New Roman" w:cs="Times New Roman"/>
                <w:sz w:val="20"/>
                <w:szCs w:val="20"/>
              </w:rPr>
              <w:t>11</w:t>
            </w:r>
          </w:p>
        </w:tc>
        <w:tc>
          <w:tcPr>
            <w:tcW w:w="602" w:type="pct"/>
            <w:vAlign w:val="center"/>
          </w:tcPr>
          <w:p w14:paraId="47C338BF"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39</w:t>
            </w:r>
          </w:p>
        </w:tc>
        <w:tc>
          <w:tcPr>
            <w:tcW w:w="651" w:type="pct"/>
            <w:vAlign w:val="center"/>
          </w:tcPr>
          <w:p w14:paraId="2764C4DD"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48</w:t>
            </w:r>
          </w:p>
        </w:tc>
      </w:tr>
      <w:tr w:rsidR="00070D19" w:rsidRPr="00A33A28" w14:paraId="37ABC8DA" w14:textId="77777777" w:rsidTr="00653141">
        <w:trPr>
          <w:tblHeader/>
          <w:jc w:val="center"/>
        </w:trPr>
        <w:tc>
          <w:tcPr>
            <w:tcW w:w="2587" w:type="pct"/>
            <w:vAlign w:val="center"/>
          </w:tcPr>
          <w:p w14:paraId="5B586574" w14:textId="77777777" w:rsidR="00070D19" w:rsidRPr="00A33A28" w:rsidRDefault="00070D19" w:rsidP="00653141">
            <w:pPr>
              <w:jc w:val="center"/>
              <w:rPr>
                <w:rFonts w:ascii="Times New Roman" w:eastAsia="Times New Roman" w:hAnsi="Times New Roman" w:cs="Times New Roman"/>
                <w:sz w:val="20"/>
                <w:szCs w:val="20"/>
              </w:rPr>
            </w:pPr>
            <w:r w:rsidRPr="00A33A28">
              <w:rPr>
                <w:rFonts w:ascii="Times New Roman" w:eastAsia="Times New Roman" w:hAnsi="Times New Roman" w:cs="Times New Roman"/>
                <w:sz w:val="20"/>
                <w:szCs w:val="20"/>
                <w:lang w:eastAsia="sk-SK"/>
              </w:rPr>
              <w:t>Transfer Vedy a Výskumu</w:t>
            </w:r>
          </w:p>
        </w:tc>
        <w:tc>
          <w:tcPr>
            <w:tcW w:w="620" w:type="pct"/>
            <w:vAlign w:val="center"/>
          </w:tcPr>
          <w:p w14:paraId="6938F046"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46</w:t>
            </w:r>
          </w:p>
        </w:tc>
        <w:tc>
          <w:tcPr>
            <w:tcW w:w="540" w:type="pct"/>
            <w:vAlign w:val="center"/>
          </w:tcPr>
          <w:p w14:paraId="4866A52A" w14:textId="77777777" w:rsidR="00070D19" w:rsidRPr="00A33A28" w:rsidRDefault="00070D19" w:rsidP="00653141">
            <w:pPr>
              <w:jc w:val="center"/>
              <w:rPr>
                <w:rFonts w:ascii="Times New Roman" w:hAnsi="Times New Roman" w:cs="Times New Roman"/>
                <w:sz w:val="20"/>
                <w:szCs w:val="20"/>
              </w:rPr>
            </w:pPr>
            <w:r w:rsidRPr="00A33A28">
              <w:rPr>
                <w:rFonts w:ascii="Times New Roman" w:eastAsia="Times New Roman" w:hAnsi="Times New Roman" w:cs="Times New Roman"/>
                <w:noProof/>
                <w:sz w:val="20"/>
                <w:szCs w:val="20"/>
                <w:lang w:eastAsia="sk-SK"/>
              </w:rPr>
              <w:drawing>
                <wp:inline distT="0" distB="0" distL="0" distR="0" wp14:anchorId="5AC8723D" wp14:editId="56D368E6">
                  <wp:extent cx="104775" cy="123825"/>
                  <wp:effectExtent l="0" t="0" r="9525" b="9525"/>
                  <wp:docPr id="56" name="Obrázok 36" descr="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up"/>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A33A28">
              <w:rPr>
                <w:rFonts w:ascii="Times New Roman" w:hAnsi="Times New Roman" w:cs="Times New Roman"/>
                <w:sz w:val="20"/>
                <w:szCs w:val="20"/>
              </w:rPr>
              <w:t>3</w:t>
            </w:r>
          </w:p>
        </w:tc>
        <w:tc>
          <w:tcPr>
            <w:tcW w:w="602" w:type="pct"/>
            <w:vAlign w:val="center"/>
          </w:tcPr>
          <w:p w14:paraId="24DB2024"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49</w:t>
            </w:r>
          </w:p>
        </w:tc>
        <w:tc>
          <w:tcPr>
            <w:tcW w:w="651" w:type="pct"/>
            <w:vAlign w:val="center"/>
          </w:tcPr>
          <w:p w14:paraId="056CBD6E"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48</w:t>
            </w:r>
          </w:p>
        </w:tc>
      </w:tr>
      <w:tr w:rsidR="00070D19" w:rsidRPr="00A33A28" w14:paraId="6CCA0B0E" w14:textId="77777777" w:rsidTr="00653141">
        <w:trPr>
          <w:tblHeader/>
          <w:jc w:val="center"/>
        </w:trPr>
        <w:tc>
          <w:tcPr>
            <w:tcW w:w="2587" w:type="pct"/>
            <w:vAlign w:val="center"/>
          </w:tcPr>
          <w:p w14:paraId="54452D42" w14:textId="77777777" w:rsidR="00070D19" w:rsidRPr="00A33A28" w:rsidRDefault="00070D19" w:rsidP="00653141">
            <w:pPr>
              <w:jc w:val="center"/>
              <w:rPr>
                <w:rFonts w:ascii="Times New Roman" w:eastAsia="Times New Roman" w:hAnsi="Times New Roman" w:cs="Times New Roman"/>
                <w:sz w:val="20"/>
                <w:szCs w:val="20"/>
              </w:rPr>
            </w:pPr>
            <w:r w:rsidRPr="00A33A28">
              <w:rPr>
                <w:rFonts w:ascii="Times New Roman" w:eastAsia="Times New Roman" w:hAnsi="Times New Roman" w:cs="Times New Roman"/>
                <w:sz w:val="20"/>
                <w:szCs w:val="20"/>
                <w:lang w:eastAsia="sk-SK"/>
              </w:rPr>
              <w:t>Prístup ku komerčnej infraštruktúre a infraštruktúre služieb</w:t>
            </w:r>
          </w:p>
        </w:tc>
        <w:tc>
          <w:tcPr>
            <w:tcW w:w="620" w:type="pct"/>
            <w:vAlign w:val="center"/>
          </w:tcPr>
          <w:p w14:paraId="7CE6238D"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14</w:t>
            </w:r>
          </w:p>
        </w:tc>
        <w:tc>
          <w:tcPr>
            <w:tcW w:w="540" w:type="pct"/>
            <w:vAlign w:val="center"/>
          </w:tcPr>
          <w:p w14:paraId="23EECB9D" w14:textId="77777777" w:rsidR="00070D19" w:rsidRPr="00A33A28" w:rsidRDefault="00070D19" w:rsidP="00653141">
            <w:pPr>
              <w:jc w:val="center"/>
              <w:rPr>
                <w:rFonts w:ascii="Times New Roman" w:eastAsia="Times New Roman" w:hAnsi="Times New Roman" w:cs="Times New Roman"/>
                <w:noProof/>
                <w:sz w:val="20"/>
                <w:szCs w:val="20"/>
                <w:lang w:eastAsia="sk-SK"/>
              </w:rPr>
            </w:pPr>
            <w:r w:rsidRPr="00A33A28">
              <w:rPr>
                <w:rFonts w:ascii="Times New Roman" w:eastAsia="Times New Roman" w:hAnsi="Times New Roman" w:cs="Times New Roman"/>
                <w:noProof/>
                <w:sz w:val="20"/>
                <w:szCs w:val="20"/>
                <w:lang w:eastAsia="sk-SK"/>
              </w:rPr>
              <w:drawing>
                <wp:inline distT="0" distB="0" distL="0" distR="0" wp14:anchorId="076C1820" wp14:editId="58E62B90">
                  <wp:extent cx="104775" cy="123825"/>
                  <wp:effectExtent l="0" t="0" r="9525" b="9525"/>
                  <wp:docPr id="57" name="Obrázok 36" descr="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up"/>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A33A28">
              <w:rPr>
                <w:rFonts w:ascii="Times New Roman" w:hAnsi="Times New Roman" w:cs="Times New Roman"/>
                <w:sz w:val="20"/>
                <w:szCs w:val="20"/>
              </w:rPr>
              <w:t>26</w:t>
            </w:r>
          </w:p>
        </w:tc>
        <w:tc>
          <w:tcPr>
            <w:tcW w:w="602" w:type="pct"/>
            <w:vAlign w:val="center"/>
          </w:tcPr>
          <w:p w14:paraId="1B061563"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40</w:t>
            </w:r>
          </w:p>
        </w:tc>
        <w:tc>
          <w:tcPr>
            <w:tcW w:w="651" w:type="pct"/>
            <w:vAlign w:val="center"/>
          </w:tcPr>
          <w:p w14:paraId="536F3827"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16</w:t>
            </w:r>
          </w:p>
        </w:tc>
      </w:tr>
      <w:tr w:rsidR="00070D19" w:rsidRPr="00A33A28" w14:paraId="5668F862" w14:textId="77777777" w:rsidTr="00653141">
        <w:trPr>
          <w:tblHeader/>
          <w:jc w:val="center"/>
        </w:trPr>
        <w:tc>
          <w:tcPr>
            <w:tcW w:w="2587" w:type="pct"/>
            <w:vAlign w:val="center"/>
          </w:tcPr>
          <w:p w14:paraId="1E16FE97" w14:textId="77777777" w:rsidR="00070D19" w:rsidRPr="00A33A28" w:rsidRDefault="00070D19" w:rsidP="00653141">
            <w:pPr>
              <w:jc w:val="center"/>
              <w:rPr>
                <w:rFonts w:ascii="Times New Roman" w:eastAsia="Times New Roman" w:hAnsi="Times New Roman" w:cs="Times New Roman"/>
                <w:sz w:val="20"/>
                <w:szCs w:val="20"/>
              </w:rPr>
            </w:pPr>
            <w:r w:rsidRPr="00A33A28">
              <w:rPr>
                <w:rFonts w:ascii="Times New Roman" w:eastAsia="Times New Roman" w:hAnsi="Times New Roman" w:cs="Times New Roman"/>
                <w:sz w:val="20"/>
                <w:szCs w:val="20"/>
                <w:lang w:eastAsia="sk-SK"/>
              </w:rPr>
              <w:t>Dynamika trhu</w:t>
            </w:r>
          </w:p>
        </w:tc>
        <w:tc>
          <w:tcPr>
            <w:tcW w:w="620" w:type="pct"/>
            <w:vAlign w:val="center"/>
          </w:tcPr>
          <w:p w14:paraId="7331ACE9"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29</w:t>
            </w:r>
          </w:p>
        </w:tc>
        <w:tc>
          <w:tcPr>
            <w:tcW w:w="540" w:type="pct"/>
            <w:vAlign w:val="center"/>
          </w:tcPr>
          <w:p w14:paraId="53C3607A" w14:textId="77777777" w:rsidR="00070D19" w:rsidRPr="00A33A28" w:rsidRDefault="00070D19" w:rsidP="00653141">
            <w:pPr>
              <w:jc w:val="center"/>
              <w:rPr>
                <w:rFonts w:ascii="Times New Roman" w:eastAsia="Times New Roman" w:hAnsi="Times New Roman" w:cs="Times New Roman"/>
                <w:noProof/>
                <w:sz w:val="20"/>
                <w:szCs w:val="20"/>
                <w:lang w:eastAsia="sk-SK"/>
              </w:rPr>
            </w:pPr>
            <w:r w:rsidRPr="00A33A28">
              <w:rPr>
                <w:rFonts w:ascii="Times New Roman" w:eastAsia="Times New Roman" w:hAnsi="Times New Roman" w:cs="Times New Roman"/>
                <w:noProof/>
                <w:sz w:val="20"/>
                <w:szCs w:val="20"/>
                <w:lang w:eastAsia="sk-SK"/>
              </w:rPr>
              <w:drawing>
                <wp:inline distT="0" distB="0" distL="0" distR="0" wp14:anchorId="11220609" wp14:editId="614E4F20">
                  <wp:extent cx="104775" cy="123825"/>
                  <wp:effectExtent l="0" t="0" r="9525" b="9525"/>
                  <wp:docPr id="49" name="Obrázok 2067" descr="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up"/>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A33A28">
              <w:rPr>
                <w:rFonts w:ascii="Times New Roman" w:hAnsi="Times New Roman" w:cs="Times New Roman"/>
                <w:sz w:val="20"/>
                <w:szCs w:val="20"/>
              </w:rPr>
              <w:t>21</w:t>
            </w:r>
          </w:p>
        </w:tc>
        <w:tc>
          <w:tcPr>
            <w:tcW w:w="602" w:type="pct"/>
            <w:vAlign w:val="center"/>
          </w:tcPr>
          <w:p w14:paraId="09590FA6"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50</w:t>
            </w:r>
          </w:p>
        </w:tc>
        <w:tc>
          <w:tcPr>
            <w:tcW w:w="651" w:type="pct"/>
            <w:vAlign w:val="center"/>
          </w:tcPr>
          <w:p w14:paraId="38BA194A"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51</w:t>
            </w:r>
          </w:p>
        </w:tc>
      </w:tr>
      <w:tr w:rsidR="00070D19" w:rsidRPr="00A33A28" w14:paraId="1DF71F9A" w14:textId="77777777" w:rsidTr="00653141">
        <w:trPr>
          <w:tblHeader/>
          <w:jc w:val="center"/>
        </w:trPr>
        <w:tc>
          <w:tcPr>
            <w:tcW w:w="2587" w:type="pct"/>
            <w:vAlign w:val="center"/>
          </w:tcPr>
          <w:p w14:paraId="140DB2E7" w14:textId="77777777" w:rsidR="00070D19" w:rsidRPr="00A33A28" w:rsidRDefault="00070D19" w:rsidP="00653141">
            <w:pPr>
              <w:jc w:val="center"/>
              <w:rPr>
                <w:rFonts w:ascii="Times New Roman" w:eastAsia="Times New Roman" w:hAnsi="Times New Roman" w:cs="Times New Roman"/>
                <w:sz w:val="20"/>
                <w:szCs w:val="20"/>
              </w:rPr>
            </w:pPr>
            <w:r w:rsidRPr="00A33A28">
              <w:rPr>
                <w:rFonts w:ascii="Times New Roman" w:eastAsia="Times New Roman" w:hAnsi="Times New Roman" w:cs="Times New Roman"/>
                <w:sz w:val="20"/>
                <w:szCs w:val="20"/>
                <w:lang w:eastAsia="sk-SK"/>
              </w:rPr>
              <w:t>Trhové obmedzenia</w:t>
            </w:r>
          </w:p>
        </w:tc>
        <w:tc>
          <w:tcPr>
            <w:tcW w:w="620" w:type="pct"/>
            <w:vAlign w:val="center"/>
          </w:tcPr>
          <w:p w14:paraId="6C94FF96"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38</w:t>
            </w:r>
          </w:p>
        </w:tc>
        <w:tc>
          <w:tcPr>
            <w:tcW w:w="540" w:type="pct"/>
            <w:vAlign w:val="center"/>
          </w:tcPr>
          <w:p w14:paraId="2B1E1C1F" w14:textId="77777777" w:rsidR="00070D19" w:rsidRPr="00A33A28" w:rsidRDefault="00070D19" w:rsidP="00653141">
            <w:pPr>
              <w:jc w:val="center"/>
              <w:rPr>
                <w:rFonts w:ascii="Times New Roman" w:hAnsi="Times New Roman" w:cs="Times New Roman"/>
                <w:sz w:val="20"/>
                <w:szCs w:val="20"/>
              </w:rPr>
            </w:pPr>
            <w:r w:rsidRPr="00A33A28">
              <w:rPr>
                <w:rFonts w:ascii="Times New Roman" w:eastAsia="Times New Roman" w:hAnsi="Times New Roman" w:cs="Times New Roman"/>
                <w:noProof/>
                <w:sz w:val="20"/>
                <w:szCs w:val="20"/>
                <w:lang w:eastAsia="sk-SK"/>
              </w:rPr>
              <w:drawing>
                <wp:inline distT="0" distB="0" distL="0" distR="0" wp14:anchorId="143E5FE3" wp14:editId="37F1321A">
                  <wp:extent cx="104775" cy="123825"/>
                  <wp:effectExtent l="0" t="0" r="9525" b="9525"/>
                  <wp:docPr id="50" name="Obrázok 41" descr="dow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wn"/>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A33A28">
              <w:rPr>
                <w:rFonts w:ascii="Times New Roman" w:hAnsi="Times New Roman" w:cs="Times New Roman"/>
                <w:sz w:val="20"/>
                <w:szCs w:val="20"/>
              </w:rPr>
              <w:t>1</w:t>
            </w:r>
          </w:p>
        </w:tc>
        <w:tc>
          <w:tcPr>
            <w:tcW w:w="602" w:type="pct"/>
            <w:vAlign w:val="center"/>
          </w:tcPr>
          <w:p w14:paraId="3D29AA34"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37</w:t>
            </w:r>
          </w:p>
        </w:tc>
        <w:tc>
          <w:tcPr>
            <w:tcW w:w="651" w:type="pct"/>
            <w:vAlign w:val="center"/>
          </w:tcPr>
          <w:p w14:paraId="027357AC"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24</w:t>
            </w:r>
          </w:p>
        </w:tc>
      </w:tr>
      <w:tr w:rsidR="00070D19" w:rsidRPr="00A33A28" w14:paraId="7E2ED07B" w14:textId="77777777" w:rsidTr="00653141">
        <w:trPr>
          <w:tblHeader/>
          <w:jc w:val="center"/>
        </w:trPr>
        <w:tc>
          <w:tcPr>
            <w:tcW w:w="2587" w:type="pct"/>
            <w:vAlign w:val="center"/>
          </w:tcPr>
          <w:p w14:paraId="2C8420AE" w14:textId="77777777" w:rsidR="00070D19" w:rsidRPr="00A33A28" w:rsidRDefault="00070D19" w:rsidP="00653141">
            <w:pPr>
              <w:jc w:val="center"/>
              <w:rPr>
                <w:rFonts w:ascii="Times New Roman" w:eastAsia="Times New Roman" w:hAnsi="Times New Roman" w:cs="Times New Roman"/>
                <w:sz w:val="20"/>
                <w:szCs w:val="20"/>
              </w:rPr>
            </w:pPr>
            <w:r w:rsidRPr="00A33A28">
              <w:rPr>
                <w:rFonts w:ascii="Times New Roman" w:eastAsia="Times New Roman" w:hAnsi="Times New Roman" w:cs="Times New Roman"/>
                <w:sz w:val="20"/>
                <w:szCs w:val="20"/>
                <w:lang w:eastAsia="sk-SK"/>
              </w:rPr>
              <w:t>Prístup k fyzickej infraštruktúre a službám</w:t>
            </w:r>
          </w:p>
        </w:tc>
        <w:tc>
          <w:tcPr>
            <w:tcW w:w="620" w:type="pct"/>
            <w:vAlign w:val="center"/>
          </w:tcPr>
          <w:p w14:paraId="63E6737F"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21</w:t>
            </w:r>
          </w:p>
        </w:tc>
        <w:tc>
          <w:tcPr>
            <w:tcW w:w="540" w:type="pct"/>
            <w:vAlign w:val="center"/>
          </w:tcPr>
          <w:p w14:paraId="1AE9C97F" w14:textId="77777777" w:rsidR="00070D19" w:rsidRPr="00A33A28" w:rsidRDefault="00070D19" w:rsidP="00653141">
            <w:pPr>
              <w:jc w:val="center"/>
              <w:rPr>
                <w:rFonts w:ascii="Times New Roman" w:eastAsia="Times New Roman" w:hAnsi="Times New Roman" w:cs="Times New Roman"/>
                <w:noProof/>
                <w:sz w:val="20"/>
                <w:szCs w:val="20"/>
                <w:lang w:eastAsia="sk-SK"/>
              </w:rPr>
            </w:pPr>
            <w:r w:rsidRPr="00A33A28">
              <w:rPr>
                <w:rFonts w:ascii="Times New Roman" w:hAnsi="Times New Roman" w:cs="Times New Roman"/>
                <w:sz w:val="20"/>
                <w:szCs w:val="20"/>
              </w:rPr>
              <w:t>-</w:t>
            </w:r>
          </w:p>
        </w:tc>
        <w:tc>
          <w:tcPr>
            <w:tcW w:w="602" w:type="pct"/>
            <w:vAlign w:val="center"/>
          </w:tcPr>
          <w:p w14:paraId="15E3D85E"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21</w:t>
            </w:r>
          </w:p>
        </w:tc>
        <w:tc>
          <w:tcPr>
            <w:tcW w:w="651" w:type="pct"/>
            <w:vAlign w:val="center"/>
          </w:tcPr>
          <w:p w14:paraId="60F04FB6"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12</w:t>
            </w:r>
          </w:p>
        </w:tc>
      </w:tr>
      <w:tr w:rsidR="00070D19" w:rsidRPr="00A33A28" w14:paraId="0809C472" w14:textId="77777777" w:rsidTr="00653141">
        <w:trPr>
          <w:tblHeader/>
          <w:jc w:val="center"/>
        </w:trPr>
        <w:tc>
          <w:tcPr>
            <w:tcW w:w="2587" w:type="pct"/>
            <w:vAlign w:val="center"/>
          </w:tcPr>
          <w:p w14:paraId="6500F6F1" w14:textId="77777777" w:rsidR="00070D19" w:rsidRPr="00A33A28" w:rsidRDefault="00070D19" w:rsidP="00653141">
            <w:pPr>
              <w:jc w:val="center"/>
              <w:rPr>
                <w:rFonts w:ascii="Times New Roman" w:eastAsia="Times New Roman" w:hAnsi="Times New Roman" w:cs="Times New Roman"/>
                <w:sz w:val="20"/>
                <w:szCs w:val="20"/>
              </w:rPr>
            </w:pPr>
            <w:r w:rsidRPr="00A33A28">
              <w:rPr>
                <w:rFonts w:ascii="Times New Roman" w:eastAsia="Times New Roman" w:hAnsi="Times New Roman" w:cs="Times New Roman"/>
                <w:sz w:val="20"/>
                <w:szCs w:val="20"/>
                <w:lang w:eastAsia="sk-SK"/>
              </w:rPr>
              <w:t>Kultúrne a spoločenské normy</w:t>
            </w:r>
          </w:p>
        </w:tc>
        <w:tc>
          <w:tcPr>
            <w:tcW w:w="620" w:type="pct"/>
            <w:vAlign w:val="center"/>
          </w:tcPr>
          <w:p w14:paraId="710E69EB"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52</w:t>
            </w:r>
          </w:p>
        </w:tc>
        <w:tc>
          <w:tcPr>
            <w:tcW w:w="540" w:type="pct"/>
            <w:vAlign w:val="center"/>
          </w:tcPr>
          <w:p w14:paraId="51024B90" w14:textId="77777777" w:rsidR="00070D19" w:rsidRPr="00A33A28" w:rsidRDefault="00070D19" w:rsidP="00653141">
            <w:pPr>
              <w:jc w:val="center"/>
              <w:rPr>
                <w:rFonts w:ascii="Times New Roman" w:eastAsia="Times New Roman" w:hAnsi="Times New Roman" w:cs="Times New Roman"/>
                <w:noProof/>
                <w:sz w:val="20"/>
                <w:szCs w:val="20"/>
                <w:lang w:eastAsia="sk-SK"/>
              </w:rPr>
            </w:pPr>
            <w:r w:rsidRPr="00A33A28">
              <w:rPr>
                <w:rFonts w:ascii="Times New Roman" w:eastAsia="Times New Roman" w:hAnsi="Times New Roman" w:cs="Times New Roman"/>
                <w:noProof/>
                <w:sz w:val="20"/>
                <w:szCs w:val="20"/>
                <w:lang w:eastAsia="sk-SK"/>
              </w:rPr>
              <w:drawing>
                <wp:inline distT="0" distB="0" distL="0" distR="0" wp14:anchorId="3B1BD07C" wp14:editId="3519F200">
                  <wp:extent cx="104775" cy="123825"/>
                  <wp:effectExtent l="0" t="0" r="9525" b="9525"/>
                  <wp:docPr id="58" name="Obrázok 2067" descr="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up"/>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Pr="00A33A28">
              <w:rPr>
                <w:rFonts w:ascii="Times New Roman" w:hAnsi="Times New Roman" w:cs="Times New Roman"/>
                <w:sz w:val="20"/>
                <w:szCs w:val="20"/>
              </w:rPr>
              <w:t>6</w:t>
            </w:r>
          </w:p>
        </w:tc>
        <w:tc>
          <w:tcPr>
            <w:tcW w:w="602" w:type="pct"/>
            <w:vAlign w:val="center"/>
          </w:tcPr>
          <w:p w14:paraId="6019C26E"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58</w:t>
            </w:r>
          </w:p>
        </w:tc>
        <w:tc>
          <w:tcPr>
            <w:tcW w:w="651" w:type="pct"/>
            <w:vAlign w:val="center"/>
          </w:tcPr>
          <w:p w14:paraId="5744DE1C" w14:textId="77777777" w:rsidR="00070D19" w:rsidRPr="00A33A28" w:rsidRDefault="00070D19" w:rsidP="00653141">
            <w:pPr>
              <w:jc w:val="center"/>
              <w:rPr>
                <w:rFonts w:ascii="Times New Roman" w:hAnsi="Times New Roman" w:cs="Times New Roman"/>
                <w:sz w:val="20"/>
                <w:szCs w:val="20"/>
              </w:rPr>
            </w:pPr>
            <w:r w:rsidRPr="00A33A28">
              <w:rPr>
                <w:rFonts w:ascii="Times New Roman" w:hAnsi="Times New Roman" w:cs="Times New Roman"/>
                <w:sz w:val="20"/>
                <w:szCs w:val="20"/>
              </w:rPr>
              <w:t>58</w:t>
            </w:r>
          </w:p>
        </w:tc>
      </w:tr>
    </w:tbl>
    <w:p w14:paraId="79C20EF2" w14:textId="77777777" w:rsidR="00070D19" w:rsidRPr="00A33A28" w:rsidRDefault="00070D19" w:rsidP="00070D19">
      <w:pPr>
        <w:spacing w:after="0" w:line="240" w:lineRule="auto"/>
        <w:jc w:val="both"/>
        <w:rPr>
          <w:rFonts w:ascii="Times New Roman" w:hAnsi="Times New Roman" w:cs="Times New Roman"/>
          <w:sz w:val="16"/>
          <w:szCs w:val="16"/>
        </w:rPr>
      </w:pPr>
      <w:r w:rsidRPr="00A33A28">
        <w:rPr>
          <w:rFonts w:ascii="Times New Roman" w:hAnsi="Times New Roman" w:cs="Times New Roman"/>
          <w:sz w:val="16"/>
          <w:szCs w:val="16"/>
        </w:rPr>
        <w:t xml:space="preserve">Zdroj: </w:t>
      </w:r>
      <w:proofErr w:type="spellStart"/>
      <w:r w:rsidRPr="00A33A28">
        <w:rPr>
          <w:rFonts w:ascii="Times New Roman" w:hAnsi="Times New Roman" w:cs="Times New Roman"/>
          <w:sz w:val="16"/>
          <w:szCs w:val="16"/>
        </w:rPr>
        <w:t>Global</w:t>
      </w:r>
      <w:proofErr w:type="spellEnd"/>
      <w:r w:rsidRPr="00A33A28">
        <w:rPr>
          <w:rFonts w:ascii="Times New Roman" w:hAnsi="Times New Roman" w:cs="Times New Roman"/>
          <w:sz w:val="16"/>
          <w:szCs w:val="16"/>
        </w:rPr>
        <w:t xml:space="preserve"> </w:t>
      </w:r>
      <w:proofErr w:type="spellStart"/>
      <w:r w:rsidRPr="00A33A28">
        <w:rPr>
          <w:rFonts w:ascii="Times New Roman" w:hAnsi="Times New Roman" w:cs="Times New Roman"/>
          <w:sz w:val="16"/>
          <w:szCs w:val="16"/>
        </w:rPr>
        <w:t>Entrepreneurship</w:t>
      </w:r>
      <w:proofErr w:type="spellEnd"/>
      <w:r w:rsidRPr="00A33A28">
        <w:rPr>
          <w:rFonts w:ascii="Times New Roman" w:hAnsi="Times New Roman" w:cs="Times New Roman"/>
          <w:sz w:val="16"/>
          <w:szCs w:val="16"/>
        </w:rPr>
        <w:t xml:space="preserve"> Monitor</w:t>
      </w:r>
      <w:r w:rsidRPr="00A33A28">
        <w:rPr>
          <w:rStyle w:val="Odkaznapoznmkupodiarou"/>
          <w:sz w:val="16"/>
          <w:szCs w:val="16"/>
        </w:rPr>
        <w:footnoteReference w:id="7"/>
      </w:r>
      <w:r w:rsidRPr="00A33A28">
        <w:rPr>
          <w:rFonts w:ascii="Times New Roman" w:hAnsi="Times New Roman" w:cs="Times New Roman"/>
          <w:sz w:val="16"/>
          <w:szCs w:val="16"/>
        </w:rPr>
        <w:t xml:space="preserve"> </w:t>
      </w:r>
    </w:p>
    <w:p w14:paraId="24C44956" w14:textId="77777777" w:rsidR="00070D19" w:rsidRPr="00A33A28" w:rsidRDefault="00070D19" w:rsidP="00070D19">
      <w:pPr>
        <w:spacing w:after="0" w:line="240" w:lineRule="auto"/>
        <w:jc w:val="both"/>
        <w:rPr>
          <w:rFonts w:ascii="Times New Roman" w:hAnsi="Times New Roman" w:cs="Times New Roman"/>
          <w:sz w:val="16"/>
          <w:szCs w:val="16"/>
        </w:rPr>
      </w:pPr>
    </w:p>
    <w:p w14:paraId="193E1F9E" w14:textId="77777777" w:rsidR="00070D19" w:rsidRPr="00A33A28" w:rsidRDefault="00070D19" w:rsidP="00070D19">
      <w:pPr>
        <w:spacing w:after="0" w:line="240" w:lineRule="auto"/>
        <w:jc w:val="both"/>
        <w:rPr>
          <w:rFonts w:ascii="Times New Roman" w:hAnsi="Times New Roman" w:cs="Times New Roman"/>
          <w:sz w:val="24"/>
          <w:szCs w:val="24"/>
        </w:rPr>
      </w:pPr>
      <w:r w:rsidRPr="00A33A28">
        <w:rPr>
          <w:rFonts w:ascii="Times New Roman" w:hAnsi="Times New Roman" w:cs="Times New Roman"/>
          <w:sz w:val="24"/>
          <w:szCs w:val="24"/>
        </w:rPr>
        <w:tab/>
        <w:t xml:space="preserve">V najnovšom hodnotení GEM zaznamenalo Slovensko výrazný posun v takmer všetkých oblastiach, vyzdvihujúc predovšetkým oblasť vzdelania, tak základného a stredného (20. miesto), ako aj odborného, profesijného a vysokoškolského (28. miesto). V oboch oblastiach vidíme trend napredovania za posledné tri hodnotené obdobia. </w:t>
      </w:r>
    </w:p>
    <w:p w14:paraId="7F4FACC9" w14:textId="77777777" w:rsidR="00070D19" w:rsidRPr="00A33A28" w:rsidRDefault="00070D19" w:rsidP="00070D19">
      <w:pPr>
        <w:spacing w:after="0" w:line="240" w:lineRule="auto"/>
        <w:jc w:val="both"/>
        <w:rPr>
          <w:rFonts w:ascii="Times New Roman" w:hAnsi="Times New Roman" w:cs="Times New Roman"/>
          <w:sz w:val="24"/>
          <w:szCs w:val="24"/>
        </w:rPr>
      </w:pPr>
      <w:r w:rsidRPr="00A33A28">
        <w:rPr>
          <w:rFonts w:ascii="Times New Roman" w:hAnsi="Times New Roman" w:cs="Times New Roman"/>
          <w:sz w:val="24"/>
          <w:szCs w:val="24"/>
        </w:rPr>
        <w:tab/>
        <w:t>Slovensko sa v porovnaní s ostatnými krajinami umiestnilo na popredných miestach v oblasti prístupu ku komerčnej infraštruktúre a infraštruktúre služieb (14. miesto) a financovania (16. miesto). Naopak, zaostávame v oblasti kultúrnych a spoločenských noriem (52. miesto) a v oblastiach týkajúcich sa vládnych politík (v oboch prípadoch 48. miesto). Riešenie problému nadmernej byrokracie je v kompetencii všetkých ústredných orgánov štátnej správy a rovnako úradov, ktoré plnenie regulácií vynucujú a kontrolujú. Zlepšenie sa očakáva úplnou implementáciou princípu „jedenkrát a dosť“.</w:t>
      </w:r>
    </w:p>
    <w:p w14:paraId="2EA4AAA9" w14:textId="77777777" w:rsidR="00070D19" w:rsidRPr="00A33A28" w:rsidRDefault="00070D19" w:rsidP="00070D19">
      <w:pPr>
        <w:spacing w:after="0" w:line="240" w:lineRule="auto"/>
        <w:jc w:val="both"/>
        <w:rPr>
          <w:rFonts w:ascii="Times New Roman" w:hAnsi="Times New Roman" w:cs="Times New Roman"/>
          <w:sz w:val="24"/>
          <w:szCs w:val="24"/>
        </w:rPr>
      </w:pPr>
      <w:r w:rsidRPr="00A33A28">
        <w:rPr>
          <w:rFonts w:ascii="Times New Roman" w:hAnsi="Times New Roman" w:cs="Times New Roman"/>
          <w:sz w:val="24"/>
          <w:szCs w:val="24"/>
        </w:rPr>
        <w:tab/>
        <w:t xml:space="preserve">V celkovom hodnotení GEM za obdobie rokov 2017-2018 sa Slovensko umiestnilo </w:t>
      </w:r>
      <w:r w:rsidRPr="00A33A28">
        <w:rPr>
          <w:rFonts w:ascii="Times New Roman" w:hAnsi="Times New Roman" w:cs="Times New Roman"/>
          <w:sz w:val="24"/>
          <w:szCs w:val="24"/>
        </w:rPr>
        <w:br/>
        <w:t xml:space="preserve">na 40. mieste z 54 krajín. </w:t>
      </w:r>
    </w:p>
    <w:p w14:paraId="7E33D0CF" w14:textId="77777777" w:rsidR="00070D19" w:rsidRPr="00A33A28" w:rsidRDefault="00070D19" w:rsidP="00070D19">
      <w:pPr>
        <w:spacing w:after="0" w:line="240" w:lineRule="auto"/>
        <w:jc w:val="both"/>
        <w:rPr>
          <w:rFonts w:ascii="Times New Roman" w:hAnsi="Times New Roman" w:cs="Times New Roman"/>
          <w:sz w:val="24"/>
          <w:szCs w:val="24"/>
        </w:rPr>
      </w:pPr>
    </w:p>
    <w:p w14:paraId="1960321D" w14:textId="2B0E6D94" w:rsidR="00070D19" w:rsidRPr="00A33A28" w:rsidRDefault="00070D19" w:rsidP="006765B2">
      <w:pPr>
        <w:spacing w:after="0" w:line="240" w:lineRule="auto"/>
        <w:ind w:left="360"/>
        <w:contextualSpacing/>
        <w:jc w:val="both"/>
        <w:rPr>
          <w:rFonts w:ascii="Times New Roman" w:eastAsia="Times New Roman" w:hAnsi="Times New Roman" w:cs="Times New Roman"/>
          <w:sz w:val="24"/>
          <w:szCs w:val="24"/>
          <w:lang w:eastAsia="sk-SK"/>
        </w:rPr>
      </w:pPr>
    </w:p>
    <w:p w14:paraId="1A6F47EC" w14:textId="77777777" w:rsidR="00070D19" w:rsidRPr="00A33A28" w:rsidRDefault="00070D19" w:rsidP="00070D19">
      <w:pPr>
        <w:spacing w:after="0" w:line="240" w:lineRule="auto"/>
        <w:contextualSpacing/>
        <w:jc w:val="both"/>
        <w:rPr>
          <w:rFonts w:ascii="Times New Roman" w:eastAsia="Times New Roman" w:hAnsi="Times New Roman" w:cs="Times New Roman"/>
          <w:sz w:val="24"/>
          <w:szCs w:val="24"/>
          <w:lang w:eastAsia="sk-SK"/>
        </w:rPr>
      </w:pPr>
    </w:p>
    <w:p w14:paraId="3B2C25E3" w14:textId="303F375D" w:rsidR="00070D19" w:rsidRPr="00A33A28" w:rsidRDefault="00070D19" w:rsidP="00070D19">
      <w:pPr>
        <w:spacing w:after="0" w:line="240" w:lineRule="auto"/>
        <w:jc w:val="both"/>
        <w:rPr>
          <w:rFonts w:ascii="Times New Roman" w:hAnsi="Times New Roman" w:cs="Times New Roman"/>
          <w:b/>
          <w:sz w:val="28"/>
          <w:szCs w:val="28"/>
        </w:rPr>
      </w:pPr>
      <w:r w:rsidRPr="00A33A28">
        <w:rPr>
          <w:rFonts w:ascii="Times New Roman" w:hAnsi="Times New Roman" w:cs="Times New Roman"/>
          <w:b/>
          <w:sz w:val="28"/>
          <w:szCs w:val="28"/>
        </w:rPr>
        <w:lastRenderedPageBreak/>
        <w:t>3. Zhodnotenie</w:t>
      </w:r>
      <w:r w:rsidRPr="00A33A28">
        <w:t xml:space="preserve"> </w:t>
      </w:r>
      <w:r w:rsidRPr="00A33A28">
        <w:rPr>
          <w:rFonts w:ascii="Times New Roman" w:hAnsi="Times New Roman" w:cs="Times New Roman"/>
          <w:b/>
          <w:sz w:val="28"/>
          <w:szCs w:val="28"/>
        </w:rPr>
        <w:t xml:space="preserve">stavu podnikateľského prostredia pre malé a stredné podnikanie </w:t>
      </w:r>
    </w:p>
    <w:p w14:paraId="27B639E0" w14:textId="77777777" w:rsidR="00070D19" w:rsidRPr="00A33A28" w:rsidRDefault="00070D19" w:rsidP="00070D19">
      <w:pPr>
        <w:tabs>
          <w:tab w:val="left" w:pos="0"/>
        </w:tabs>
        <w:spacing w:after="0" w:line="240" w:lineRule="auto"/>
        <w:ind w:firstLine="567"/>
        <w:contextualSpacing/>
        <w:jc w:val="both"/>
        <w:rPr>
          <w:rFonts w:ascii="Times New Roman" w:hAnsi="Times New Roman" w:cs="Times New Roman"/>
          <w:sz w:val="24"/>
          <w:szCs w:val="24"/>
        </w:rPr>
      </w:pPr>
    </w:p>
    <w:p w14:paraId="14D719FF" w14:textId="77777777" w:rsidR="00070D19" w:rsidRDefault="00070D19" w:rsidP="00070D19">
      <w:pPr>
        <w:tabs>
          <w:tab w:val="left" w:pos="0"/>
        </w:tabs>
        <w:spacing w:after="0" w:line="240" w:lineRule="auto"/>
        <w:ind w:firstLine="567"/>
        <w:contextualSpacing/>
        <w:jc w:val="both"/>
        <w:rPr>
          <w:rFonts w:ascii="Times New Roman" w:hAnsi="Times New Roman" w:cs="Times New Roman"/>
          <w:sz w:val="24"/>
          <w:szCs w:val="24"/>
        </w:rPr>
      </w:pPr>
      <w:r w:rsidRPr="00A33A28">
        <w:rPr>
          <w:rFonts w:ascii="Times New Roman" w:hAnsi="Times New Roman" w:cs="Times New Roman"/>
          <w:sz w:val="24"/>
          <w:szCs w:val="24"/>
        </w:rPr>
        <w:t xml:space="preserve">Od roku 2008 je k dispozícii rámec 10 princípov Európskej iniciatívy tzv. </w:t>
      </w:r>
      <w:proofErr w:type="spellStart"/>
      <w:r w:rsidRPr="00A33A28">
        <w:rPr>
          <w:rFonts w:ascii="Times New Roman" w:hAnsi="Times New Roman" w:cs="Times New Roman"/>
          <w:sz w:val="24"/>
          <w:szCs w:val="24"/>
        </w:rPr>
        <w:t>Small</w:t>
      </w:r>
      <w:proofErr w:type="spellEnd"/>
      <w:r w:rsidRPr="00A33A28">
        <w:rPr>
          <w:rFonts w:ascii="Times New Roman" w:hAnsi="Times New Roman" w:cs="Times New Roman"/>
          <w:sz w:val="24"/>
          <w:szCs w:val="24"/>
        </w:rPr>
        <w:t xml:space="preserve"> Business </w:t>
      </w:r>
      <w:proofErr w:type="spellStart"/>
      <w:r w:rsidRPr="00A33A28">
        <w:rPr>
          <w:rFonts w:ascii="Times New Roman" w:hAnsi="Times New Roman" w:cs="Times New Roman"/>
          <w:sz w:val="24"/>
          <w:szCs w:val="24"/>
        </w:rPr>
        <w:t>Act</w:t>
      </w:r>
      <w:proofErr w:type="spellEnd"/>
      <w:r w:rsidRPr="00A33A28">
        <w:rPr>
          <w:rFonts w:ascii="Times New Roman" w:hAnsi="Times New Roman" w:cs="Times New Roman"/>
          <w:sz w:val="24"/>
          <w:szCs w:val="24"/>
        </w:rPr>
        <w:t xml:space="preserve"> (ďalej len „</w:t>
      </w:r>
      <w:proofErr w:type="spellStart"/>
      <w:r w:rsidRPr="00A33A28">
        <w:rPr>
          <w:rFonts w:ascii="Times New Roman" w:hAnsi="Times New Roman" w:cs="Times New Roman"/>
          <w:sz w:val="24"/>
          <w:szCs w:val="24"/>
        </w:rPr>
        <w:t>SBAfE</w:t>
      </w:r>
      <w:proofErr w:type="spellEnd"/>
      <w:r w:rsidRPr="00A33A28">
        <w:rPr>
          <w:rFonts w:ascii="Times New Roman" w:hAnsi="Times New Roman" w:cs="Times New Roman"/>
          <w:sz w:val="24"/>
          <w:szCs w:val="24"/>
        </w:rPr>
        <w:t xml:space="preserve">“), ktorý nadväzuje na Európsku chartu pre MSP z roku 2000. Jeho cieľom je sprevádzať tvorcov regulácií a politík pri zlepšovaní podmienok a postavenia MSP v  krajinách EÚ, prispieť k dosiahnutiu cieľov ekonomického rozvoja EÚ v zmysle Stratégie Európa 2020 zvýšením konkurencieschopnosti MSP v jednotlivých členských krajinách, </w:t>
      </w:r>
      <w:r w:rsidRPr="00A33A28">
        <w:rPr>
          <w:rFonts w:ascii="Times New Roman" w:hAnsi="Times New Roman" w:cs="Times New Roman"/>
          <w:sz w:val="24"/>
          <w:szCs w:val="24"/>
        </w:rPr>
        <w:br/>
        <w:t xml:space="preserve">ako aj celej EÚ vo svete. Zároveň slúži Európskej komisii na každoročné hodnotenie uplatňovania princípov pre vypracovanie tzv. profilov krajín. </w:t>
      </w:r>
    </w:p>
    <w:p w14:paraId="1B0D1A64" w14:textId="77777777" w:rsidR="00070D19" w:rsidRDefault="00070D19" w:rsidP="00070D19">
      <w:pPr>
        <w:tabs>
          <w:tab w:val="left" w:pos="0"/>
        </w:tabs>
        <w:spacing w:after="0" w:line="240" w:lineRule="auto"/>
        <w:ind w:firstLine="567"/>
        <w:contextualSpacing/>
        <w:jc w:val="both"/>
        <w:rPr>
          <w:rFonts w:ascii="Times New Roman" w:hAnsi="Times New Roman" w:cs="Times New Roman"/>
          <w:sz w:val="24"/>
          <w:szCs w:val="24"/>
        </w:rPr>
      </w:pPr>
      <w:r w:rsidRPr="009D1A3A">
        <w:rPr>
          <w:rFonts w:ascii="Times New Roman" w:hAnsi="Times New Roman" w:cs="Times New Roman"/>
          <w:sz w:val="24"/>
          <w:szCs w:val="24"/>
        </w:rPr>
        <w:t xml:space="preserve">Nástrojom podpory MSP bola v roku 2017 aj podpora z európskych štrukturálnych a investičných fondov EÚ (ďalej len „EŠIF“). V programovom období 2014 – 2020 MH SR plní úlohy sprostredkovateľského orgánu pre Operačného programu Výskum a inovácie (ďalej len „OP </w:t>
      </w:r>
      <w:proofErr w:type="spellStart"/>
      <w:r w:rsidRPr="009D1A3A">
        <w:rPr>
          <w:rFonts w:ascii="Times New Roman" w:hAnsi="Times New Roman" w:cs="Times New Roman"/>
          <w:sz w:val="24"/>
          <w:szCs w:val="24"/>
        </w:rPr>
        <w:t>VaI</w:t>
      </w:r>
      <w:proofErr w:type="spellEnd"/>
      <w:r w:rsidRPr="009D1A3A">
        <w:rPr>
          <w:rFonts w:ascii="Times New Roman" w:hAnsi="Times New Roman" w:cs="Times New Roman"/>
          <w:sz w:val="24"/>
          <w:szCs w:val="24"/>
        </w:rPr>
        <w:t xml:space="preserve">“). OP </w:t>
      </w:r>
      <w:proofErr w:type="spellStart"/>
      <w:r w:rsidRPr="009D1A3A">
        <w:rPr>
          <w:rFonts w:ascii="Times New Roman" w:hAnsi="Times New Roman" w:cs="Times New Roman"/>
          <w:sz w:val="24"/>
          <w:szCs w:val="24"/>
        </w:rPr>
        <w:t>VaI</w:t>
      </w:r>
      <w:proofErr w:type="spellEnd"/>
      <w:r w:rsidRPr="009D1A3A">
        <w:rPr>
          <w:rFonts w:ascii="Times New Roman" w:hAnsi="Times New Roman" w:cs="Times New Roman"/>
          <w:sz w:val="24"/>
          <w:szCs w:val="24"/>
        </w:rPr>
        <w:t xml:space="preserve"> sa zameriava na podporu inovácií, technologického rozvoja a zvyšovania konkurencieschopnosti malých a stredných podnikateľov. V závislosti od typu podpory sa môžu podnikatelia uchádzať o priamu nenávratnú finančnú pomoc vo forme grantov, nefinančnú pomoc vo forme poradenstva a poskytovania podporných služieb a návratnú finančnú pomoc prostredníctvom finančných nástrojov. V rámci OP </w:t>
      </w:r>
      <w:proofErr w:type="spellStart"/>
      <w:r w:rsidRPr="009D1A3A">
        <w:rPr>
          <w:rFonts w:ascii="Times New Roman" w:hAnsi="Times New Roman" w:cs="Times New Roman"/>
          <w:sz w:val="24"/>
          <w:szCs w:val="24"/>
        </w:rPr>
        <w:t>VaI</w:t>
      </w:r>
      <w:proofErr w:type="spellEnd"/>
      <w:r w:rsidRPr="009D1A3A">
        <w:rPr>
          <w:rFonts w:ascii="Times New Roman" w:hAnsi="Times New Roman" w:cs="Times New Roman"/>
          <w:sz w:val="24"/>
          <w:szCs w:val="24"/>
        </w:rPr>
        <w:t xml:space="preserve"> bolo do konca roka 2017 vyhlásených 21 výziev a vyzvaní v celkovej alokácii 873,2 mil. EUR na realizáciu dopytovo-orientovaných projektov, národných projektov a finančných nástrojov. Celkovo bolo do konca roka 2017 schválených 735 projektov s podporou v hodnote 549,5 mil. EUR.</w:t>
      </w:r>
    </w:p>
    <w:p w14:paraId="60BA1E21" w14:textId="77777777" w:rsidR="00070D19" w:rsidRDefault="00070D19" w:rsidP="00070D19">
      <w:pPr>
        <w:tabs>
          <w:tab w:val="left" w:pos="0"/>
        </w:tabs>
        <w:spacing w:after="0" w:line="240" w:lineRule="auto"/>
        <w:ind w:firstLine="567"/>
        <w:contextualSpacing/>
        <w:jc w:val="both"/>
        <w:rPr>
          <w:rFonts w:ascii="Times New Roman" w:hAnsi="Times New Roman" w:cs="Times New Roman"/>
          <w:sz w:val="24"/>
          <w:szCs w:val="24"/>
        </w:rPr>
      </w:pPr>
    </w:p>
    <w:p w14:paraId="5F22D3D8" w14:textId="77777777" w:rsidR="00070D19" w:rsidRPr="00A33A28" w:rsidRDefault="00070D19" w:rsidP="00070D19">
      <w:pPr>
        <w:tabs>
          <w:tab w:val="left" w:pos="0"/>
        </w:tabs>
        <w:spacing w:after="0" w:line="240" w:lineRule="auto"/>
        <w:ind w:firstLine="567"/>
        <w:contextualSpacing/>
        <w:jc w:val="both"/>
        <w:rPr>
          <w:rFonts w:ascii="Times New Roman" w:hAnsi="Times New Roman" w:cs="Times New Roman"/>
          <w:i/>
          <w:sz w:val="24"/>
          <w:szCs w:val="24"/>
        </w:rPr>
      </w:pPr>
      <w:r>
        <w:rPr>
          <w:rFonts w:ascii="Times New Roman" w:hAnsi="Times New Roman" w:cs="Times New Roman"/>
          <w:i/>
          <w:sz w:val="24"/>
          <w:szCs w:val="24"/>
        </w:rPr>
        <w:t>P</w:t>
      </w:r>
      <w:r w:rsidRPr="00A33A28">
        <w:rPr>
          <w:rFonts w:ascii="Times New Roman" w:hAnsi="Times New Roman" w:cs="Times New Roman"/>
          <w:i/>
          <w:sz w:val="24"/>
          <w:szCs w:val="24"/>
        </w:rPr>
        <w:t>rincíp 1 - Prístup k podnikaniu</w:t>
      </w:r>
    </w:p>
    <w:p w14:paraId="5625E8F9" w14:textId="77777777" w:rsidR="00070D19" w:rsidRPr="00A33A28" w:rsidRDefault="00070D19" w:rsidP="00070D19">
      <w:pPr>
        <w:tabs>
          <w:tab w:val="left" w:pos="0"/>
        </w:tabs>
        <w:spacing w:after="0" w:line="240" w:lineRule="auto"/>
        <w:ind w:firstLine="567"/>
        <w:contextualSpacing/>
        <w:jc w:val="both"/>
        <w:rPr>
          <w:rFonts w:ascii="Times New Roman" w:hAnsi="Times New Roman" w:cs="Times New Roman"/>
          <w:sz w:val="24"/>
          <w:szCs w:val="24"/>
        </w:rPr>
      </w:pPr>
      <w:r w:rsidRPr="00A33A28">
        <w:rPr>
          <w:rFonts w:ascii="Times New Roman" w:hAnsi="Times New Roman" w:cs="Times New Roman"/>
          <w:sz w:val="24"/>
          <w:szCs w:val="24"/>
        </w:rPr>
        <w:t xml:space="preserve">Najvýznamnejšou zmenou bolo prijatie zákona č. 290/2016 Z. z. o podpore malého a stredného podnikania (ďalej len „zákon o podpore MSP“), ktorý upravuje formy a spôsob poskytovania podpory a pôsobnosť MH SR v oblasti malého a stredného podnikania. MH SR môže poskytnúť podporu priamou alebo nepriamou formou v súlade s pravidlami </w:t>
      </w:r>
      <w:r w:rsidRPr="00A33A28">
        <w:rPr>
          <w:rFonts w:ascii="Times New Roman" w:hAnsi="Times New Roman" w:cs="Times New Roman"/>
          <w:sz w:val="24"/>
          <w:szCs w:val="24"/>
        </w:rPr>
        <w:br/>
        <w:t xml:space="preserve">pre poskytovanie štátnej pomoci a minimálnej pomoci žiadateľovi, ktorého možno charakterizovať ako </w:t>
      </w:r>
      <w:proofErr w:type="spellStart"/>
      <w:r w:rsidRPr="00A33A28">
        <w:rPr>
          <w:rFonts w:ascii="Times New Roman" w:hAnsi="Times New Roman" w:cs="Times New Roman"/>
          <w:sz w:val="24"/>
          <w:szCs w:val="24"/>
        </w:rPr>
        <w:t>mikropodnikateľa</w:t>
      </w:r>
      <w:proofErr w:type="spellEnd"/>
      <w:r w:rsidRPr="00A33A28">
        <w:rPr>
          <w:rFonts w:ascii="Times New Roman" w:hAnsi="Times New Roman" w:cs="Times New Roman"/>
          <w:sz w:val="24"/>
          <w:szCs w:val="24"/>
        </w:rPr>
        <w:t xml:space="preserve">, malého podnikateľa alebo stredného podnikateľa. </w:t>
      </w:r>
      <w:r w:rsidRPr="00A33A28">
        <w:rPr>
          <w:rFonts w:ascii="Times New Roman" w:hAnsi="Times New Roman" w:cs="Times New Roman"/>
          <w:sz w:val="24"/>
          <w:szCs w:val="24"/>
        </w:rPr>
        <w:br/>
        <w:t>V prípade nepriamej formy podpory môže byť podpora poskytnutá aj fyzickej osobe – nepodnikateľovi. V rámci podporných opatrení bol najvýznamnejšou iniciatívou spustenie prvej fázy projektu Národného podnikateľského centra, komplexného centra podporných služieb pre podnikateľov na jednom mieste (</w:t>
      </w:r>
      <w:proofErr w:type="spellStart"/>
      <w:r w:rsidRPr="00A33A28">
        <w:rPr>
          <w:rFonts w:ascii="Times New Roman" w:hAnsi="Times New Roman" w:cs="Times New Roman"/>
          <w:sz w:val="24"/>
          <w:szCs w:val="24"/>
        </w:rPr>
        <w:t>one</w:t>
      </w:r>
      <w:proofErr w:type="spellEnd"/>
      <w:r w:rsidRPr="00A33A28">
        <w:rPr>
          <w:rFonts w:ascii="Times New Roman" w:hAnsi="Times New Roman" w:cs="Times New Roman"/>
          <w:sz w:val="24"/>
          <w:szCs w:val="24"/>
        </w:rPr>
        <w:t xml:space="preserve">-stop </w:t>
      </w:r>
      <w:proofErr w:type="spellStart"/>
      <w:r w:rsidRPr="00A33A28">
        <w:rPr>
          <w:rFonts w:ascii="Times New Roman" w:hAnsi="Times New Roman" w:cs="Times New Roman"/>
          <w:sz w:val="24"/>
          <w:szCs w:val="24"/>
        </w:rPr>
        <w:t>shop</w:t>
      </w:r>
      <w:proofErr w:type="spellEnd"/>
      <w:r w:rsidRPr="00A33A28">
        <w:rPr>
          <w:rFonts w:ascii="Times New Roman" w:hAnsi="Times New Roman" w:cs="Times New Roman"/>
          <w:sz w:val="24"/>
          <w:szCs w:val="24"/>
        </w:rPr>
        <w:t xml:space="preserve">) poskytovaných s cieľom zvýšenia uplatnenia nielen mladých ľudí, absolventov, ale aj zamestnancov a seniorov zamýšľajúcich sa nad vstupom do podnikania, vrátane poradenstva a podpory pre podnikateľov etablovaných, ako aj pre podnikateľov z marginalizovaných skupín obyvateľstva. </w:t>
      </w:r>
    </w:p>
    <w:p w14:paraId="07677AB1" w14:textId="77777777" w:rsidR="00070D19" w:rsidRPr="00A33A28" w:rsidRDefault="00070D19" w:rsidP="00070D19">
      <w:pPr>
        <w:tabs>
          <w:tab w:val="left" w:pos="0"/>
        </w:tabs>
        <w:spacing w:after="0" w:line="240" w:lineRule="auto"/>
        <w:ind w:firstLine="567"/>
        <w:contextualSpacing/>
        <w:jc w:val="both"/>
        <w:rPr>
          <w:rFonts w:ascii="Times New Roman" w:hAnsi="Times New Roman" w:cs="Times New Roman"/>
          <w:sz w:val="24"/>
          <w:szCs w:val="24"/>
        </w:rPr>
      </w:pPr>
    </w:p>
    <w:p w14:paraId="27DA90CC" w14:textId="77777777" w:rsidR="00070D19" w:rsidRPr="00A33A28" w:rsidRDefault="00070D19" w:rsidP="00070D19">
      <w:pPr>
        <w:tabs>
          <w:tab w:val="left" w:pos="0"/>
        </w:tabs>
        <w:spacing w:after="0" w:line="240" w:lineRule="auto"/>
        <w:contextualSpacing/>
        <w:jc w:val="both"/>
        <w:rPr>
          <w:rFonts w:ascii="Times New Roman" w:hAnsi="Times New Roman" w:cs="Times New Roman"/>
          <w:i/>
          <w:sz w:val="24"/>
          <w:szCs w:val="24"/>
        </w:rPr>
      </w:pPr>
      <w:r w:rsidRPr="00A33A28">
        <w:rPr>
          <w:rFonts w:ascii="Times New Roman" w:hAnsi="Times New Roman" w:cs="Times New Roman"/>
          <w:i/>
          <w:sz w:val="24"/>
          <w:szCs w:val="24"/>
        </w:rPr>
        <w:t>Princíp 2 - Druhá šanca</w:t>
      </w:r>
    </w:p>
    <w:p w14:paraId="06F1BA4E" w14:textId="77777777" w:rsidR="00070D19" w:rsidRPr="00A33A28" w:rsidRDefault="00070D19" w:rsidP="00070D19">
      <w:pPr>
        <w:tabs>
          <w:tab w:val="left" w:pos="0"/>
        </w:tabs>
        <w:spacing w:after="0" w:line="240" w:lineRule="auto"/>
        <w:ind w:firstLine="567"/>
        <w:contextualSpacing/>
        <w:jc w:val="both"/>
        <w:rPr>
          <w:rFonts w:ascii="Times New Roman" w:hAnsi="Times New Roman" w:cs="Times New Roman"/>
          <w:sz w:val="24"/>
          <w:szCs w:val="24"/>
        </w:rPr>
      </w:pPr>
      <w:r w:rsidRPr="00A33A28">
        <w:rPr>
          <w:rFonts w:ascii="Times New Roman" w:hAnsi="Times New Roman" w:cs="Times New Roman"/>
          <w:sz w:val="24"/>
          <w:szCs w:val="24"/>
        </w:rPr>
        <w:t xml:space="preserve">Naďalej pokračoval trend poklesu počtu vyhlásených konkurzov, ako aj povolených reštrukturalizácií malých a stredných podnikov. V porovnaní s rokom 2015 sa počet konkurzov znížil o 22 % (o 77) na počet 273. Z celkového počtu konkurzov bolo 87,5 % (239) vyhlásených v kategórii </w:t>
      </w:r>
      <w:proofErr w:type="spellStart"/>
      <w:r w:rsidRPr="00A33A28">
        <w:rPr>
          <w:rFonts w:ascii="Times New Roman" w:hAnsi="Times New Roman" w:cs="Times New Roman"/>
          <w:sz w:val="24"/>
          <w:szCs w:val="24"/>
        </w:rPr>
        <w:t>mikropodnikoch</w:t>
      </w:r>
      <w:proofErr w:type="spellEnd"/>
      <w:r w:rsidRPr="00A33A28">
        <w:rPr>
          <w:rFonts w:ascii="Times New Roman" w:hAnsi="Times New Roman" w:cs="Times New Roman"/>
          <w:sz w:val="24"/>
          <w:szCs w:val="24"/>
        </w:rPr>
        <w:t xml:space="preserve"> (o 18,7 % menej oproti roku 2015). Počet povolených reštrukturalizácií sa taktiež znížil o 25,3 % na 68. Z celkového počtu povolených reštrukturalizácií MSP bolo 69,1 % v kategórii </w:t>
      </w:r>
      <w:proofErr w:type="spellStart"/>
      <w:r w:rsidRPr="00A33A28">
        <w:rPr>
          <w:rFonts w:ascii="Times New Roman" w:hAnsi="Times New Roman" w:cs="Times New Roman"/>
          <w:sz w:val="24"/>
          <w:szCs w:val="24"/>
        </w:rPr>
        <w:t>mikropodnikov</w:t>
      </w:r>
      <w:proofErr w:type="spellEnd"/>
      <w:r w:rsidRPr="00A33A28">
        <w:rPr>
          <w:rFonts w:ascii="Times New Roman" w:hAnsi="Times New Roman" w:cs="Times New Roman"/>
          <w:sz w:val="24"/>
          <w:szCs w:val="24"/>
        </w:rPr>
        <w:t>. Takmer polovica (45,4 %) konkurzov malých a stredných podnikov v roku 2016 bola vyhlásená v odvetví služieb. Viac ako jedna štvrtina (25,6 %) konkurzov MSP bola vyhlásená v odvetví obchodu. Najviac povolených reštrukturalizácií MSP bolo v oblasti služieb (42,6 %) a obchodu (29,4 %). Významnou zmenou bolo prijatie zákona č. 377/2016 Z. z., ktorým sa mení a dopĺňa zákon č. 7/2005 Z. z. o konkurze a reštrukturalizácii. Účelom zákona je riešenie úpadku fyzických osôb. Zavádza sa register úpadcov online, t. j. prehľad všetkých konaní na jednom mieste.</w:t>
      </w:r>
    </w:p>
    <w:p w14:paraId="0284EDCC" w14:textId="77777777" w:rsidR="00070D19" w:rsidRPr="00A33A28" w:rsidRDefault="00070D19" w:rsidP="00070D19">
      <w:pPr>
        <w:tabs>
          <w:tab w:val="left" w:pos="0"/>
        </w:tabs>
        <w:spacing w:after="0" w:line="240" w:lineRule="auto"/>
        <w:ind w:firstLine="567"/>
        <w:contextualSpacing/>
        <w:jc w:val="both"/>
        <w:rPr>
          <w:rFonts w:ascii="Times New Roman" w:hAnsi="Times New Roman" w:cs="Times New Roman"/>
          <w:sz w:val="24"/>
          <w:szCs w:val="24"/>
        </w:rPr>
      </w:pPr>
    </w:p>
    <w:p w14:paraId="40A36C13" w14:textId="77777777" w:rsidR="00070D19" w:rsidRPr="00A33A28" w:rsidRDefault="00070D19" w:rsidP="00070D19">
      <w:pPr>
        <w:tabs>
          <w:tab w:val="left" w:pos="0"/>
        </w:tabs>
        <w:spacing w:after="0" w:line="240" w:lineRule="auto"/>
        <w:contextualSpacing/>
        <w:jc w:val="both"/>
        <w:rPr>
          <w:rFonts w:ascii="Times New Roman" w:hAnsi="Times New Roman" w:cs="Times New Roman"/>
          <w:i/>
          <w:sz w:val="24"/>
          <w:szCs w:val="24"/>
        </w:rPr>
      </w:pPr>
      <w:r w:rsidRPr="00A33A28">
        <w:rPr>
          <w:rFonts w:ascii="Times New Roman" w:hAnsi="Times New Roman" w:cs="Times New Roman"/>
          <w:i/>
          <w:sz w:val="24"/>
          <w:szCs w:val="24"/>
        </w:rPr>
        <w:t>Princíp 3 - Najskôr mysli v malom</w:t>
      </w:r>
    </w:p>
    <w:p w14:paraId="5875DAE3" w14:textId="77777777" w:rsidR="00070D19" w:rsidRPr="00A33A28" w:rsidRDefault="00070D19" w:rsidP="00070D19">
      <w:pPr>
        <w:tabs>
          <w:tab w:val="left" w:pos="0"/>
        </w:tabs>
        <w:spacing w:after="0" w:line="240" w:lineRule="auto"/>
        <w:ind w:firstLine="567"/>
        <w:contextualSpacing/>
        <w:jc w:val="both"/>
        <w:rPr>
          <w:rFonts w:ascii="Times New Roman" w:hAnsi="Times New Roman" w:cs="Times New Roman"/>
          <w:sz w:val="24"/>
          <w:szCs w:val="24"/>
        </w:rPr>
      </w:pPr>
      <w:r w:rsidRPr="00A33A28">
        <w:rPr>
          <w:rFonts w:ascii="Times New Roman" w:hAnsi="Times New Roman" w:cs="Times New Roman"/>
          <w:sz w:val="24"/>
          <w:szCs w:val="24"/>
        </w:rPr>
        <w:t xml:space="preserve">Zákonom č. 400/2015 Z. z. o tvorbe právnych predpisov a o Zbierke zákonov Slovenskej republiky a o zmene a doplnení niektorých zákonov sú od 1. januára 2016 účinné nové pravidlá, </w:t>
      </w:r>
      <w:r w:rsidRPr="00A33A28">
        <w:rPr>
          <w:rFonts w:ascii="Times New Roman" w:hAnsi="Times New Roman" w:cs="Times New Roman"/>
          <w:sz w:val="24"/>
          <w:szCs w:val="24"/>
        </w:rPr>
        <w:lastRenderedPageBreak/>
        <w:t xml:space="preserve">ktoré upravujú legislatívny proces prijímania akýchkoľvek právnych predpisov, a teda aj tých, ktoré priamo ovplyvňujú podnikanie. Za významné zmeny možno považovať najmä zákaz zmeny právnych predpisov formou nepriamej novelizácie, obmedzenia novelizácie právnych predpisov iným právnym predpisom, spustenie elektronického systému tvorby právnych predpisov a povinné zverejňovanie právneho predpisu na pripomienkové konanie s cieľom zabezpečenia účasti verejnosti (zaviedol sa inštitút predbežnej informácie). Zvyšuje sa tým pravdepodobnosť väčšej participácie podnikateľskej verejnosti pri tvorbe právnych predpisov, ktoré by mali vo väčšej miere reflektovať, že sa „najskôr myslí v malom.“ Zároveň Ministerstvo spravodlivosti v SR spustilo prevádzku nového právneho a informačného portálu </w:t>
      </w:r>
      <w:r w:rsidRPr="00A33A28">
        <w:rPr>
          <w:rFonts w:ascii="Times New Roman" w:hAnsi="Times New Roman" w:cs="Times New Roman"/>
          <w:sz w:val="24"/>
          <w:szCs w:val="24"/>
        </w:rPr>
        <w:br/>
        <w:t>www.slov-lex.sk, ktorého súčasťou je aj elektronická Zbierka zákonov (</w:t>
      </w:r>
      <w:proofErr w:type="spellStart"/>
      <w:r w:rsidRPr="00A33A28">
        <w:rPr>
          <w:rFonts w:ascii="Times New Roman" w:hAnsi="Times New Roman" w:cs="Times New Roman"/>
          <w:sz w:val="24"/>
          <w:szCs w:val="24"/>
        </w:rPr>
        <w:t>eZbierka</w:t>
      </w:r>
      <w:proofErr w:type="spellEnd"/>
      <w:r w:rsidRPr="00A33A28">
        <w:rPr>
          <w:rFonts w:ascii="Times New Roman" w:hAnsi="Times New Roman" w:cs="Times New Roman"/>
          <w:sz w:val="24"/>
          <w:szCs w:val="24"/>
        </w:rPr>
        <w:t xml:space="preserve">) </w:t>
      </w:r>
      <w:r w:rsidRPr="00A33A28">
        <w:rPr>
          <w:rFonts w:ascii="Times New Roman" w:hAnsi="Times New Roman" w:cs="Times New Roman"/>
          <w:sz w:val="24"/>
          <w:szCs w:val="24"/>
        </w:rPr>
        <w:br/>
        <w:t>a nový informačný systém pre tvorbu právnych predpisov a sledovanie legislatívneho procesu (</w:t>
      </w:r>
      <w:proofErr w:type="spellStart"/>
      <w:r w:rsidRPr="00A33A28">
        <w:rPr>
          <w:rFonts w:ascii="Times New Roman" w:hAnsi="Times New Roman" w:cs="Times New Roman"/>
          <w:sz w:val="24"/>
          <w:szCs w:val="24"/>
        </w:rPr>
        <w:t>eLegislativa</w:t>
      </w:r>
      <w:proofErr w:type="spellEnd"/>
      <w:r w:rsidRPr="00A33A28">
        <w:rPr>
          <w:rFonts w:ascii="Times New Roman" w:hAnsi="Times New Roman" w:cs="Times New Roman"/>
          <w:sz w:val="24"/>
          <w:szCs w:val="24"/>
        </w:rPr>
        <w:t>).</w:t>
      </w:r>
    </w:p>
    <w:p w14:paraId="3C5B19F8" w14:textId="77777777" w:rsidR="00070D19" w:rsidRPr="00A33A28" w:rsidRDefault="00070D19" w:rsidP="00070D19">
      <w:pPr>
        <w:tabs>
          <w:tab w:val="left" w:pos="0"/>
        </w:tabs>
        <w:spacing w:after="0" w:line="240" w:lineRule="auto"/>
        <w:ind w:firstLine="567"/>
        <w:contextualSpacing/>
        <w:jc w:val="both"/>
        <w:rPr>
          <w:rFonts w:ascii="Times New Roman" w:hAnsi="Times New Roman" w:cs="Times New Roman"/>
          <w:sz w:val="24"/>
          <w:szCs w:val="24"/>
        </w:rPr>
      </w:pPr>
    </w:p>
    <w:p w14:paraId="0E002154" w14:textId="77777777" w:rsidR="00070D19" w:rsidRPr="00A33A28" w:rsidRDefault="00070D19" w:rsidP="00070D19">
      <w:pPr>
        <w:tabs>
          <w:tab w:val="left" w:pos="0"/>
        </w:tabs>
        <w:spacing w:after="0" w:line="240" w:lineRule="auto"/>
        <w:contextualSpacing/>
        <w:jc w:val="both"/>
        <w:rPr>
          <w:rFonts w:ascii="Times New Roman" w:hAnsi="Times New Roman" w:cs="Times New Roman"/>
          <w:i/>
          <w:sz w:val="24"/>
          <w:szCs w:val="24"/>
        </w:rPr>
      </w:pPr>
      <w:r w:rsidRPr="00A33A28">
        <w:rPr>
          <w:rFonts w:ascii="Times New Roman" w:hAnsi="Times New Roman" w:cs="Times New Roman"/>
          <w:i/>
          <w:sz w:val="24"/>
          <w:szCs w:val="24"/>
        </w:rPr>
        <w:t>Princíp 4 - Ústretová správa</w:t>
      </w:r>
    </w:p>
    <w:p w14:paraId="360B4C03" w14:textId="77777777" w:rsidR="00070D19" w:rsidRPr="00A33A28" w:rsidRDefault="00070D19" w:rsidP="00070D19">
      <w:pPr>
        <w:tabs>
          <w:tab w:val="left" w:pos="0"/>
        </w:tabs>
        <w:spacing w:after="0" w:line="240" w:lineRule="auto"/>
        <w:ind w:firstLine="567"/>
        <w:contextualSpacing/>
        <w:jc w:val="both"/>
        <w:rPr>
          <w:rFonts w:ascii="Times New Roman" w:hAnsi="Times New Roman" w:cs="Times New Roman"/>
          <w:sz w:val="24"/>
          <w:szCs w:val="24"/>
        </w:rPr>
      </w:pPr>
      <w:r w:rsidRPr="00A33A28">
        <w:rPr>
          <w:rFonts w:ascii="Times New Roman" w:hAnsi="Times New Roman" w:cs="Times New Roman"/>
          <w:sz w:val="24"/>
          <w:szCs w:val="24"/>
        </w:rPr>
        <w:t xml:space="preserve">V legislatívnom prostredí najvýznamnejšou zmenou bolo prijatie zákona č. 341/2016 Z. z., ktorým sa mení a dopĺňa zákon č. 595/2003 Z. z. o dani z príjmov v znení neskorších predpisov a ktorým sa mení a dopĺňa zákon č. 580/2004 Z. z. o zdravotnom poistení a o zmene a doplnení zákona č. 95/2002 Z. z. o poisťovníctve a o zmene a doplnení niektorých zákonov v znení neskorších predpisov. Od januára 2017 si živnostníci môžu uplatniť paušálne výdavky </w:t>
      </w:r>
      <w:r w:rsidRPr="00A33A28">
        <w:rPr>
          <w:rFonts w:ascii="Times New Roman" w:hAnsi="Times New Roman" w:cs="Times New Roman"/>
          <w:sz w:val="24"/>
          <w:szCs w:val="24"/>
        </w:rPr>
        <w:br/>
        <w:t xml:space="preserve">až vo výške 60 %. Zvyšuje sa aj ročný strop ich výšky, z 5 040 eur na maximálne 20 tisíc eur ročne. Už spomenutý zákon o podpore MSP zadefinoval vykonávanie testu vplyvov na </w:t>
      </w:r>
      <w:proofErr w:type="spellStart"/>
      <w:r w:rsidRPr="00A33A28">
        <w:rPr>
          <w:rFonts w:ascii="Times New Roman" w:hAnsi="Times New Roman" w:cs="Times New Roman"/>
          <w:sz w:val="24"/>
          <w:szCs w:val="24"/>
        </w:rPr>
        <w:t>mikropodniky</w:t>
      </w:r>
      <w:proofErr w:type="spellEnd"/>
      <w:r w:rsidRPr="00A33A28">
        <w:rPr>
          <w:rFonts w:ascii="Times New Roman" w:hAnsi="Times New Roman" w:cs="Times New Roman"/>
          <w:sz w:val="24"/>
          <w:szCs w:val="24"/>
        </w:rPr>
        <w:t>, malé podniky a stredné podniky. V rámci poverenia MH SR Centrum lepšej regulácie</w:t>
      </w:r>
      <w:r w:rsidRPr="00A33A28">
        <w:rPr>
          <w:rStyle w:val="Odkaznapoznmkupodiarou"/>
          <w:sz w:val="24"/>
          <w:szCs w:val="24"/>
        </w:rPr>
        <w:footnoteReference w:id="8"/>
      </w:r>
      <w:r w:rsidRPr="00A33A28">
        <w:rPr>
          <w:rFonts w:ascii="Times New Roman" w:hAnsi="Times New Roman" w:cs="Times New Roman"/>
          <w:sz w:val="24"/>
          <w:szCs w:val="24"/>
        </w:rPr>
        <w:t xml:space="preserve"> vykonávalo, v súlade so zákonom o podpore MSP a Jednotnou metodikou </w:t>
      </w:r>
      <w:r w:rsidRPr="00A33A28">
        <w:rPr>
          <w:rFonts w:ascii="Times New Roman" w:hAnsi="Times New Roman" w:cs="Times New Roman"/>
          <w:sz w:val="24"/>
          <w:szCs w:val="24"/>
        </w:rPr>
        <w:br/>
        <w:t xml:space="preserve">na posudzovanie vybraných vplyvov, posudzovanie vplyvov na podnikateľské prostredie </w:t>
      </w:r>
      <w:r w:rsidRPr="00A33A28">
        <w:rPr>
          <w:rFonts w:ascii="Times New Roman" w:hAnsi="Times New Roman" w:cs="Times New Roman"/>
          <w:sz w:val="24"/>
          <w:szCs w:val="24"/>
        </w:rPr>
        <w:br/>
        <w:t xml:space="preserve">so zameraním na MSP a test MSP. Výsledkom spolupráce medzi Centrom lepšej regulácie </w:t>
      </w:r>
      <w:r w:rsidRPr="00A33A28">
        <w:rPr>
          <w:rFonts w:ascii="Times New Roman" w:hAnsi="Times New Roman" w:cs="Times New Roman"/>
          <w:sz w:val="24"/>
          <w:szCs w:val="24"/>
        </w:rPr>
        <w:br/>
        <w:t xml:space="preserve">a predkladateľom pripravovaných zmien právnych predpisov bola kvantifikácia finančných vplyvov zmeny na MSP, ktorá prispela k širšej diskusii počas pripomienkového konania </w:t>
      </w:r>
      <w:r w:rsidRPr="00A33A28">
        <w:rPr>
          <w:rFonts w:ascii="Times New Roman" w:hAnsi="Times New Roman" w:cs="Times New Roman"/>
          <w:sz w:val="24"/>
          <w:szCs w:val="24"/>
        </w:rPr>
        <w:br/>
        <w:t>a k zvráteniu ich vzniku.</w:t>
      </w:r>
    </w:p>
    <w:p w14:paraId="6A6FE747" w14:textId="77777777" w:rsidR="00070D19" w:rsidRPr="00A33A28" w:rsidRDefault="00070D19" w:rsidP="00070D19">
      <w:pPr>
        <w:tabs>
          <w:tab w:val="left" w:pos="0"/>
        </w:tabs>
        <w:spacing w:after="0" w:line="240" w:lineRule="auto"/>
        <w:ind w:firstLine="567"/>
        <w:contextualSpacing/>
        <w:jc w:val="both"/>
        <w:rPr>
          <w:rFonts w:ascii="Times New Roman" w:hAnsi="Times New Roman" w:cs="Times New Roman"/>
          <w:sz w:val="24"/>
          <w:szCs w:val="24"/>
        </w:rPr>
      </w:pPr>
    </w:p>
    <w:p w14:paraId="620886FA" w14:textId="77777777" w:rsidR="00070D19" w:rsidRPr="00A33A28" w:rsidRDefault="00070D19" w:rsidP="00070D19">
      <w:pPr>
        <w:tabs>
          <w:tab w:val="left" w:pos="0"/>
        </w:tabs>
        <w:spacing w:after="0" w:line="240" w:lineRule="auto"/>
        <w:contextualSpacing/>
        <w:jc w:val="both"/>
        <w:rPr>
          <w:rFonts w:ascii="Times New Roman" w:hAnsi="Times New Roman" w:cs="Times New Roman"/>
          <w:i/>
          <w:sz w:val="24"/>
          <w:szCs w:val="24"/>
        </w:rPr>
      </w:pPr>
      <w:r w:rsidRPr="00A33A28">
        <w:rPr>
          <w:rFonts w:ascii="Times New Roman" w:hAnsi="Times New Roman" w:cs="Times New Roman"/>
          <w:i/>
          <w:sz w:val="24"/>
          <w:szCs w:val="24"/>
        </w:rPr>
        <w:t>Princíp 5 - Štátna pomoc a verejné obstarávanie</w:t>
      </w:r>
    </w:p>
    <w:p w14:paraId="7C2F0C25" w14:textId="77777777" w:rsidR="00070D19" w:rsidRPr="00A33A28" w:rsidRDefault="00070D19" w:rsidP="00070D19">
      <w:pPr>
        <w:tabs>
          <w:tab w:val="left" w:pos="0"/>
        </w:tabs>
        <w:spacing w:after="0" w:line="240" w:lineRule="auto"/>
        <w:ind w:firstLine="567"/>
        <w:contextualSpacing/>
        <w:jc w:val="both"/>
        <w:rPr>
          <w:rFonts w:ascii="Times New Roman" w:hAnsi="Times New Roman" w:cs="Times New Roman"/>
          <w:sz w:val="24"/>
          <w:szCs w:val="24"/>
        </w:rPr>
      </w:pPr>
      <w:r w:rsidRPr="00A33A28">
        <w:rPr>
          <w:rFonts w:ascii="Times New Roman" w:hAnsi="Times New Roman" w:cs="Times New Roman"/>
          <w:sz w:val="24"/>
          <w:szCs w:val="24"/>
        </w:rPr>
        <w:t>Prijatie zákona o registri partnerov verejného sektora (zákon č. 315/2016 Z. z.) na rozdiel od doterajšej právnej úpravy registra konečných užívateľov výhod má plošný charakter</w:t>
      </w:r>
      <w:r w:rsidRPr="00A33A28">
        <w:t xml:space="preserve"> </w:t>
      </w:r>
      <w:r w:rsidRPr="00A33A28">
        <w:br/>
      </w:r>
      <w:r w:rsidRPr="00A33A28">
        <w:rPr>
          <w:rFonts w:ascii="Times New Roman" w:hAnsi="Times New Roman" w:cs="Times New Roman"/>
          <w:sz w:val="24"/>
          <w:szCs w:val="24"/>
        </w:rPr>
        <w:t xml:space="preserve">z hľadiska prístupu k verejným zdrojom. Zavádza sprísnený režim verifikácie konečného užívateľa výhod. Filozofia zákona predpokladá, že prístup k verejným zdrojom bude podmienený zápisom v registri, z ktorého musia byť zrejmí koneční užívatelia výhod a súčasne aj tzv. oprávnená osoba spoluzodpovedná za zapísané údaje. Vysoká miera administratívnej záťaže, ale najmä nestabilita legislatívneho rámca v oblasti verejného obstarávania prispieva </w:t>
      </w:r>
      <w:r w:rsidRPr="00A33A28">
        <w:rPr>
          <w:rFonts w:ascii="Times New Roman" w:hAnsi="Times New Roman" w:cs="Times New Roman"/>
          <w:sz w:val="24"/>
          <w:szCs w:val="24"/>
        </w:rPr>
        <w:br/>
        <w:t>k tomu, že podiel MSP na celkovej hodnote uzavretých zmlúv v rámci verejného obstarávania dosiahol len 16,1 %. Podiel MSP na celkovej výške poskytnutej štátnej pomoci v roku 2016 medziročne vzrástol (o 2,5 p. b.) na 63,3 %.</w:t>
      </w:r>
    </w:p>
    <w:p w14:paraId="33F1D3CA" w14:textId="77777777" w:rsidR="00070D19" w:rsidRPr="00A33A28" w:rsidRDefault="00070D19" w:rsidP="00070D19">
      <w:pPr>
        <w:tabs>
          <w:tab w:val="left" w:pos="0"/>
        </w:tabs>
        <w:spacing w:after="0" w:line="240" w:lineRule="auto"/>
        <w:ind w:firstLine="567"/>
        <w:contextualSpacing/>
        <w:jc w:val="both"/>
        <w:rPr>
          <w:rFonts w:ascii="Times New Roman" w:hAnsi="Times New Roman" w:cs="Times New Roman"/>
          <w:sz w:val="24"/>
          <w:szCs w:val="24"/>
        </w:rPr>
      </w:pPr>
    </w:p>
    <w:p w14:paraId="5F56B908" w14:textId="77777777" w:rsidR="00070D19" w:rsidRPr="00A33A28" w:rsidRDefault="00070D19" w:rsidP="00070D19">
      <w:pPr>
        <w:tabs>
          <w:tab w:val="left" w:pos="0"/>
        </w:tabs>
        <w:spacing w:after="0" w:line="240" w:lineRule="auto"/>
        <w:contextualSpacing/>
        <w:jc w:val="both"/>
        <w:rPr>
          <w:rFonts w:ascii="Times New Roman" w:hAnsi="Times New Roman" w:cs="Times New Roman"/>
          <w:i/>
          <w:sz w:val="24"/>
          <w:szCs w:val="24"/>
        </w:rPr>
      </w:pPr>
      <w:r w:rsidRPr="00A33A28">
        <w:rPr>
          <w:rFonts w:ascii="Times New Roman" w:hAnsi="Times New Roman" w:cs="Times New Roman"/>
          <w:i/>
          <w:sz w:val="24"/>
          <w:szCs w:val="24"/>
        </w:rPr>
        <w:t>Princíp 6 - Prístup k financovaniu</w:t>
      </w:r>
    </w:p>
    <w:p w14:paraId="1D056125" w14:textId="77777777" w:rsidR="00070D19" w:rsidRPr="00A33A28" w:rsidRDefault="00070D19" w:rsidP="00070D19">
      <w:pPr>
        <w:tabs>
          <w:tab w:val="left" w:pos="0"/>
        </w:tabs>
        <w:spacing w:after="0" w:line="240" w:lineRule="auto"/>
        <w:ind w:firstLine="567"/>
        <w:contextualSpacing/>
        <w:jc w:val="both"/>
        <w:rPr>
          <w:rFonts w:ascii="Times New Roman" w:hAnsi="Times New Roman" w:cs="Times New Roman"/>
          <w:sz w:val="24"/>
          <w:szCs w:val="24"/>
        </w:rPr>
      </w:pPr>
      <w:r w:rsidRPr="00A33A28">
        <w:rPr>
          <w:rFonts w:ascii="Times New Roman" w:hAnsi="Times New Roman" w:cs="Times New Roman"/>
          <w:sz w:val="24"/>
          <w:szCs w:val="24"/>
        </w:rPr>
        <w:t xml:space="preserve">V roku 2016 z hľadiska štruktúry foriem zvyšovania prístupu MSP k financovaniu </w:t>
      </w:r>
      <w:r w:rsidRPr="00A33A28">
        <w:rPr>
          <w:rFonts w:ascii="Times New Roman" w:hAnsi="Times New Roman" w:cs="Times New Roman"/>
          <w:sz w:val="24"/>
          <w:szCs w:val="24"/>
        </w:rPr>
        <w:br/>
        <w:t xml:space="preserve">z verejných zdrojov dominovali granty EÚ s vyše 33 % podielom, úvery zo zdrojov ŠÚ SR </w:t>
      </w:r>
      <w:r w:rsidRPr="00A33A28">
        <w:rPr>
          <w:rFonts w:ascii="Times New Roman" w:hAnsi="Times New Roman" w:cs="Times New Roman"/>
          <w:sz w:val="24"/>
          <w:szCs w:val="24"/>
        </w:rPr>
        <w:br/>
        <w:t xml:space="preserve">s podielom 20,01 % a opatrenia aktívnej politiky trhu práce s podielom 19,58 %. Významný podiel (16,24 %) na financovaní MSP mali v danom období aj úvery s podporou EÚ, z ktorých sa prispelo na podporu MSP sumou 114,12 mil. eur. Objem grantov EÚ sa medziročne znížil </w:t>
      </w:r>
      <w:r w:rsidRPr="00A33A28">
        <w:rPr>
          <w:rFonts w:ascii="Times New Roman" w:hAnsi="Times New Roman" w:cs="Times New Roman"/>
          <w:sz w:val="24"/>
          <w:szCs w:val="24"/>
        </w:rPr>
        <w:br/>
        <w:t xml:space="preserve">o 7,9 mil. eur, čo predstavuje pokles až o 3,24 %. V prípade úverov s podporou EÚ došlo </w:t>
      </w:r>
      <w:r w:rsidRPr="00A33A28">
        <w:rPr>
          <w:rFonts w:ascii="Times New Roman" w:hAnsi="Times New Roman" w:cs="Times New Roman"/>
          <w:sz w:val="24"/>
          <w:szCs w:val="24"/>
        </w:rPr>
        <w:br/>
        <w:t xml:space="preserve">k medziročnému poklesu o 21 % (v dôsledku dočerpaniu prostriedkov v rámci iniciatívy JEREMIE). Najvýznamnejšia medziročná zmena v percentuálnom vyjadrení bola v rámci Rizikového kapitálu, kde došlo k nárastu o 64,39 % (6,69 mil. eur). Výrazné medziročné zvýšenie objemu finančných prostriedkov, ktoré využili MSP na financovanie svojich aktivít, nastalo aj pri opatreniach aktívnej politiky trhu práce, kde došlo k nárastu o 46,62 % </w:t>
      </w:r>
      <w:r w:rsidRPr="00A33A28">
        <w:rPr>
          <w:rFonts w:ascii="Times New Roman" w:hAnsi="Times New Roman" w:cs="Times New Roman"/>
          <w:sz w:val="24"/>
          <w:szCs w:val="24"/>
        </w:rPr>
        <w:br/>
      </w:r>
      <w:r w:rsidRPr="00A33A28">
        <w:rPr>
          <w:rFonts w:ascii="Times New Roman" w:hAnsi="Times New Roman" w:cs="Times New Roman"/>
          <w:sz w:val="24"/>
          <w:szCs w:val="24"/>
        </w:rPr>
        <w:lastRenderedPageBreak/>
        <w:t>(o 43,76 mil. eur). Z hľadiska negatívneho vývoja nastala významná zmena predovšetkým pri podpore v rámci Spoločnej poľnohospodárskej politiky, ktorá medziročne poklesla až o 84,26 %</w:t>
      </w:r>
      <w:r w:rsidRPr="00A33A28">
        <w:rPr>
          <w:rFonts w:ascii="Times New Roman" w:hAnsi="Times New Roman" w:cs="Times New Roman"/>
          <w:sz w:val="24"/>
          <w:szCs w:val="24"/>
        </w:rPr>
        <w:br/>
        <w:t>(o 51,91 mil. eur), z dôvodu, že sa rozbieha nové programové obdobie Programu rozvoja vidieka SR 2014 – 2020. Z medziročného porovnania sumárneho objemu finančných prostriedkov čerpaných MSP z verejných finančných nástrojov možno konštatovať pokles čerpania prostriedkov v roku 2016 o 8,41 % na úroveň 702,8 mil. eur.</w:t>
      </w:r>
    </w:p>
    <w:p w14:paraId="726C77DE" w14:textId="77777777" w:rsidR="00070D19" w:rsidRDefault="00070D19" w:rsidP="00070D19">
      <w:pPr>
        <w:tabs>
          <w:tab w:val="left" w:pos="0"/>
        </w:tabs>
        <w:spacing w:after="0" w:line="240" w:lineRule="auto"/>
        <w:ind w:firstLine="567"/>
        <w:contextualSpacing/>
        <w:jc w:val="both"/>
        <w:rPr>
          <w:rFonts w:ascii="Times New Roman" w:hAnsi="Times New Roman" w:cs="Times New Roman"/>
          <w:sz w:val="24"/>
          <w:szCs w:val="24"/>
        </w:rPr>
      </w:pPr>
    </w:p>
    <w:p w14:paraId="463F7F07" w14:textId="77777777" w:rsidR="00070D19" w:rsidRPr="00A33A28" w:rsidRDefault="00070D19" w:rsidP="00070D19">
      <w:pPr>
        <w:tabs>
          <w:tab w:val="left" w:pos="0"/>
        </w:tabs>
        <w:spacing w:after="0" w:line="240" w:lineRule="auto"/>
        <w:contextualSpacing/>
        <w:jc w:val="both"/>
        <w:rPr>
          <w:rFonts w:ascii="Times New Roman" w:hAnsi="Times New Roman" w:cs="Times New Roman"/>
          <w:i/>
          <w:sz w:val="24"/>
          <w:szCs w:val="24"/>
        </w:rPr>
      </w:pPr>
      <w:r w:rsidRPr="00A33A28">
        <w:rPr>
          <w:rFonts w:ascii="Times New Roman" w:hAnsi="Times New Roman" w:cs="Times New Roman"/>
          <w:i/>
          <w:sz w:val="24"/>
          <w:szCs w:val="24"/>
        </w:rPr>
        <w:t>Princíp 7 - Jednotný trh</w:t>
      </w:r>
    </w:p>
    <w:p w14:paraId="0CF9014B" w14:textId="77777777" w:rsidR="00070D19" w:rsidRPr="00A33A28" w:rsidRDefault="00070D19" w:rsidP="00070D19">
      <w:pPr>
        <w:tabs>
          <w:tab w:val="left" w:pos="0"/>
        </w:tabs>
        <w:spacing w:after="0" w:line="240" w:lineRule="auto"/>
        <w:ind w:firstLine="567"/>
        <w:contextualSpacing/>
        <w:jc w:val="both"/>
        <w:rPr>
          <w:rFonts w:ascii="Times New Roman" w:hAnsi="Times New Roman" w:cs="Times New Roman"/>
          <w:sz w:val="24"/>
          <w:szCs w:val="24"/>
        </w:rPr>
      </w:pPr>
      <w:r w:rsidRPr="00A33A28">
        <w:rPr>
          <w:rFonts w:ascii="Times New Roman" w:hAnsi="Times New Roman" w:cs="Times New Roman"/>
          <w:sz w:val="24"/>
          <w:szCs w:val="24"/>
        </w:rPr>
        <w:t xml:space="preserve">S účinnosťou od 18. júna 2016 dochádza k aplikácii ustanovení zákona č. 351/2015 Z. z. </w:t>
      </w:r>
      <w:r w:rsidRPr="00A33A28">
        <w:rPr>
          <w:rFonts w:ascii="Times New Roman" w:hAnsi="Times New Roman" w:cs="Times New Roman"/>
          <w:sz w:val="24"/>
          <w:szCs w:val="24"/>
        </w:rPr>
        <w:br/>
        <w:t>o cezhraničnej spolupráci pri vysielaní zamestnancov na výkon prác pri poskytovaní služieb. Nový zákon upravuje povinnosti vysielajúceho zamestnávateľa a k nim prináležiacej pôsobnosti Národného inšpektorátu práce a inšpektorátov práce (ďalej len „</w:t>
      </w:r>
      <w:proofErr w:type="spellStart"/>
      <w:r w:rsidRPr="00A33A28">
        <w:rPr>
          <w:rFonts w:ascii="Times New Roman" w:hAnsi="Times New Roman" w:cs="Times New Roman"/>
          <w:sz w:val="24"/>
          <w:szCs w:val="24"/>
        </w:rPr>
        <w:t>NIPaIP</w:t>
      </w:r>
      <w:proofErr w:type="spellEnd"/>
      <w:r w:rsidRPr="00A33A28">
        <w:rPr>
          <w:rFonts w:ascii="Times New Roman" w:hAnsi="Times New Roman" w:cs="Times New Roman"/>
          <w:sz w:val="24"/>
          <w:szCs w:val="24"/>
        </w:rPr>
        <w:t xml:space="preserve">“). Povinnosti hosťujúceho zamestnávateľa podľa § 4 ods. 1 až 3 tohto zákona sú trojakého charakteru. Ide </w:t>
      </w:r>
      <w:r w:rsidRPr="00A33A28">
        <w:rPr>
          <w:rFonts w:ascii="Times New Roman" w:hAnsi="Times New Roman" w:cs="Times New Roman"/>
          <w:sz w:val="24"/>
          <w:szCs w:val="24"/>
        </w:rPr>
        <w:br/>
        <w:t xml:space="preserve">o notifikačnú povinnosť hosťujúceho zamestnávateľa voči </w:t>
      </w:r>
      <w:proofErr w:type="spellStart"/>
      <w:r w:rsidRPr="00A33A28">
        <w:rPr>
          <w:rFonts w:ascii="Times New Roman" w:hAnsi="Times New Roman" w:cs="Times New Roman"/>
          <w:sz w:val="24"/>
          <w:szCs w:val="24"/>
        </w:rPr>
        <w:t>NIPaIP</w:t>
      </w:r>
      <w:proofErr w:type="spellEnd"/>
      <w:r w:rsidRPr="00A33A28">
        <w:rPr>
          <w:rFonts w:ascii="Times New Roman" w:hAnsi="Times New Roman" w:cs="Times New Roman"/>
          <w:sz w:val="24"/>
          <w:szCs w:val="24"/>
        </w:rPr>
        <w:t xml:space="preserve"> najneskôr v deň vyslania zamestnanca, ktorá sa týka balíka informácií vzťahujúcich sa na samotného zamestnávateľa, vysielaných zamestnancov, vyslania ako i nahlásenie kontaktnej osoby na doručovanie písomností, ktorá sa počas vyslania bude nachádzať na území SR. Hosťujúci zamestnávateľ </w:t>
      </w:r>
      <w:r w:rsidRPr="00A33A28">
        <w:rPr>
          <w:rFonts w:ascii="Times New Roman" w:hAnsi="Times New Roman" w:cs="Times New Roman"/>
          <w:sz w:val="24"/>
          <w:szCs w:val="24"/>
        </w:rPr>
        <w:br/>
        <w:t xml:space="preserve">je povinný viesť evidenciu v mieste výkonu práce vyslaného zamestnanca k balíku údajov </w:t>
      </w:r>
      <w:r w:rsidRPr="00A33A28">
        <w:rPr>
          <w:rFonts w:ascii="Times New Roman" w:hAnsi="Times New Roman" w:cs="Times New Roman"/>
          <w:sz w:val="24"/>
          <w:szCs w:val="24"/>
        </w:rPr>
        <w:br/>
        <w:t xml:space="preserve">či dokladov (napr. uchovávanie dokladu potvrdzujúceho pracovnoprávny vzťah s vyslaným zamestnancom a dokladov o mzde, evidencia pracovného času). Hosťujúci zamestnávateľ </w:t>
      </w:r>
      <w:r w:rsidRPr="00A33A28">
        <w:rPr>
          <w:rFonts w:ascii="Times New Roman" w:hAnsi="Times New Roman" w:cs="Times New Roman"/>
          <w:sz w:val="24"/>
          <w:szCs w:val="24"/>
        </w:rPr>
        <w:br/>
        <w:t xml:space="preserve">je povinný </w:t>
      </w:r>
      <w:proofErr w:type="spellStart"/>
      <w:r w:rsidRPr="00A33A28">
        <w:rPr>
          <w:rFonts w:ascii="Times New Roman" w:hAnsi="Times New Roman" w:cs="Times New Roman"/>
          <w:sz w:val="24"/>
          <w:szCs w:val="24"/>
        </w:rPr>
        <w:t>NIPaIP</w:t>
      </w:r>
      <w:proofErr w:type="spellEnd"/>
      <w:r w:rsidRPr="00A33A28">
        <w:rPr>
          <w:rFonts w:ascii="Times New Roman" w:hAnsi="Times New Roman" w:cs="Times New Roman"/>
          <w:sz w:val="24"/>
          <w:szCs w:val="24"/>
        </w:rPr>
        <w:t xml:space="preserve"> predložiť či doručiť dokumenty podľa bodu 2., prípadne ich preklad </w:t>
      </w:r>
      <w:r w:rsidRPr="00A33A28">
        <w:rPr>
          <w:rFonts w:ascii="Times New Roman" w:hAnsi="Times New Roman" w:cs="Times New Roman"/>
          <w:sz w:val="24"/>
          <w:szCs w:val="24"/>
        </w:rPr>
        <w:br/>
        <w:t xml:space="preserve">do slovenského jazyka v rámci stanovených lehôt. Povinnosťou domáceho zamestnávateľa podľa § 4 ods. 4 tohto zákona je vyhovieť žiadosti </w:t>
      </w:r>
      <w:proofErr w:type="spellStart"/>
      <w:r w:rsidRPr="00A33A28">
        <w:rPr>
          <w:rFonts w:ascii="Times New Roman" w:hAnsi="Times New Roman" w:cs="Times New Roman"/>
          <w:sz w:val="24"/>
          <w:szCs w:val="24"/>
        </w:rPr>
        <w:t>NIPaIP</w:t>
      </w:r>
      <w:proofErr w:type="spellEnd"/>
      <w:r w:rsidRPr="00A33A28">
        <w:rPr>
          <w:rFonts w:ascii="Times New Roman" w:hAnsi="Times New Roman" w:cs="Times New Roman"/>
          <w:sz w:val="24"/>
          <w:szCs w:val="24"/>
        </w:rPr>
        <w:t xml:space="preserve">, poskytnúť informácie na účely identifikácie vyslania, kontroly dodržiavania jeho pravidiel ako i ďalšie skutočnosti súvisiace s vyslaním. </w:t>
      </w:r>
    </w:p>
    <w:p w14:paraId="47B3543E" w14:textId="77777777" w:rsidR="00070D19" w:rsidRPr="00A33A28" w:rsidRDefault="00070D19" w:rsidP="00070D19">
      <w:pPr>
        <w:tabs>
          <w:tab w:val="left" w:pos="0"/>
        </w:tabs>
        <w:spacing w:after="0" w:line="240" w:lineRule="auto"/>
        <w:ind w:firstLine="567"/>
        <w:contextualSpacing/>
        <w:jc w:val="both"/>
        <w:rPr>
          <w:rFonts w:ascii="Times New Roman" w:hAnsi="Times New Roman" w:cs="Times New Roman"/>
          <w:sz w:val="24"/>
          <w:szCs w:val="24"/>
        </w:rPr>
      </w:pPr>
      <w:r w:rsidRPr="00A33A28">
        <w:rPr>
          <w:rFonts w:ascii="Times New Roman" w:hAnsi="Times New Roman" w:cs="Times New Roman"/>
          <w:sz w:val="24"/>
          <w:szCs w:val="24"/>
        </w:rPr>
        <w:t xml:space="preserve">Z výsledkov prieskumu „Exportné ašpirácie malých a stredných podnikov“, ktorý zrealizovala SBA v spolupráci s externým dodávateľom vyplýva, že slovenským malým </w:t>
      </w:r>
      <w:r w:rsidRPr="00A33A28">
        <w:rPr>
          <w:rFonts w:ascii="Times New Roman" w:hAnsi="Times New Roman" w:cs="Times New Roman"/>
          <w:sz w:val="24"/>
          <w:szCs w:val="24"/>
        </w:rPr>
        <w:br/>
        <w:t>a stredným podnikateľom v súčasnosti chýba najmä finančná (39,4 %) a informačná (33,2 %) forma podpory ich exportných aktivít.</w:t>
      </w:r>
    </w:p>
    <w:p w14:paraId="45B398A1" w14:textId="77777777" w:rsidR="00070D19" w:rsidRPr="00A33A28" w:rsidRDefault="00070D19" w:rsidP="00070D19">
      <w:pPr>
        <w:tabs>
          <w:tab w:val="left" w:pos="0"/>
        </w:tabs>
        <w:spacing w:after="0" w:line="240" w:lineRule="auto"/>
        <w:ind w:firstLine="567"/>
        <w:contextualSpacing/>
        <w:jc w:val="both"/>
        <w:rPr>
          <w:rFonts w:ascii="Times New Roman" w:hAnsi="Times New Roman" w:cs="Times New Roman"/>
          <w:sz w:val="24"/>
          <w:szCs w:val="24"/>
        </w:rPr>
      </w:pPr>
    </w:p>
    <w:p w14:paraId="15F3249E" w14:textId="77777777" w:rsidR="00070D19" w:rsidRPr="00A33A28" w:rsidRDefault="00070D19" w:rsidP="00070D19">
      <w:pPr>
        <w:tabs>
          <w:tab w:val="left" w:pos="0"/>
        </w:tabs>
        <w:spacing w:after="0" w:line="240" w:lineRule="auto"/>
        <w:contextualSpacing/>
        <w:jc w:val="both"/>
        <w:rPr>
          <w:rFonts w:ascii="Times New Roman" w:hAnsi="Times New Roman" w:cs="Times New Roman"/>
          <w:i/>
          <w:sz w:val="24"/>
          <w:szCs w:val="24"/>
        </w:rPr>
      </w:pPr>
      <w:r w:rsidRPr="00A33A28">
        <w:rPr>
          <w:rFonts w:ascii="Times New Roman" w:hAnsi="Times New Roman" w:cs="Times New Roman"/>
          <w:i/>
          <w:sz w:val="24"/>
          <w:szCs w:val="24"/>
        </w:rPr>
        <w:t>Princíp 8 - Zručnosti a inovácie</w:t>
      </w:r>
    </w:p>
    <w:p w14:paraId="2BD089DB" w14:textId="77777777" w:rsidR="00070D19" w:rsidRPr="00A33A28" w:rsidRDefault="00070D19" w:rsidP="00070D19">
      <w:pPr>
        <w:tabs>
          <w:tab w:val="left" w:pos="0"/>
        </w:tabs>
        <w:spacing w:after="0" w:line="240" w:lineRule="auto"/>
        <w:ind w:firstLine="567"/>
        <w:contextualSpacing/>
        <w:jc w:val="both"/>
        <w:rPr>
          <w:rFonts w:ascii="Times New Roman" w:hAnsi="Times New Roman" w:cs="Times New Roman"/>
          <w:sz w:val="24"/>
          <w:szCs w:val="24"/>
        </w:rPr>
      </w:pPr>
      <w:r w:rsidRPr="00A33A28">
        <w:rPr>
          <w:rFonts w:ascii="Times New Roman" w:hAnsi="Times New Roman" w:cs="Times New Roman"/>
          <w:sz w:val="24"/>
          <w:szCs w:val="24"/>
        </w:rPr>
        <w:t xml:space="preserve">Významnou legislatívnou zmenou bolo prijatie novely zákona č. 185/2015 Z. z., tzv. Autorského zákona. Nová právna úprava predstavuje komplexnú úpravu autorského práva, práv súvisiacich s autorským právom, práv k databáze a správy práv, ktorá odráža úpravu medzinárodných zmlúv a dohôd a práva Európskej únie v tejto oblasti. Hlavným dôvodom potreby vypracovania a prijatia novej autorskoprávnej zákonnej úpravy bola výrazná zmena týkajúca sa používania autorských diel a iných predmetov ochrany na internete, ktorú prinieslo najmä posledné desaťročie a súvisiaci rozvoj digitálneho prostredia. </w:t>
      </w:r>
    </w:p>
    <w:p w14:paraId="7A4562D5" w14:textId="77777777" w:rsidR="00070D19" w:rsidRPr="00A33A28" w:rsidRDefault="00070D19" w:rsidP="00070D19">
      <w:pPr>
        <w:tabs>
          <w:tab w:val="left" w:pos="0"/>
        </w:tabs>
        <w:spacing w:after="0" w:line="240" w:lineRule="auto"/>
        <w:ind w:firstLine="567"/>
        <w:contextualSpacing/>
        <w:jc w:val="both"/>
        <w:rPr>
          <w:rFonts w:ascii="Times New Roman" w:hAnsi="Times New Roman" w:cs="Times New Roman"/>
          <w:sz w:val="24"/>
          <w:szCs w:val="24"/>
        </w:rPr>
      </w:pPr>
      <w:r w:rsidRPr="00A33A28">
        <w:rPr>
          <w:rFonts w:ascii="Times New Roman" w:hAnsi="Times New Roman" w:cs="Times New Roman"/>
          <w:sz w:val="24"/>
          <w:szCs w:val="24"/>
        </w:rPr>
        <w:t xml:space="preserve">V roku 2017 MH SR nedisponovalo finančnými prostriedkami na podporu inovačných </w:t>
      </w:r>
      <w:proofErr w:type="spellStart"/>
      <w:r w:rsidRPr="00A33A28">
        <w:rPr>
          <w:rFonts w:ascii="Times New Roman" w:hAnsi="Times New Roman" w:cs="Times New Roman"/>
          <w:sz w:val="24"/>
          <w:szCs w:val="24"/>
        </w:rPr>
        <w:t>vouchrov</w:t>
      </w:r>
      <w:proofErr w:type="spellEnd"/>
      <w:r w:rsidRPr="00A33A28">
        <w:rPr>
          <w:rFonts w:ascii="Times New Roman" w:hAnsi="Times New Roman" w:cs="Times New Roman"/>
          <w:sz w:val="24"/>
          <w:szCs w:val="24"/>
        </w:rPr>
        <w:t xml:space="preserve"> a klastrov. Prostredníctvom Inovačného fondu bola poskytnutá návratná finančná pomoc 3 podnikateľským subjektom v celkovej výške 212 tis. eur. Na základe Výzvy </w:t>
      </w:r>
      <w:r w:rsidRPr="00A33A28">
        <w:rPr>
          <w:rFonts w:ascii="Times New Roman" w:hAnsi="Times New Roman" w:cs="Times New Roman"/>
          <w:sz w:val="24"/>
          <w:szCs w:val="24"/>
        </w:rPr>
        <w:br/>
        <w:t>na predkladanie žiadostí o poskytnutie dotácie na riešenie spoločných projektov priemyselného výskumu a experimentálneho vývoja, podporujúcich spoluprácu medzi oprávnenými subjektmi</w:t>
      </w:r>
      <w:r w:rsidRPr="00A33A28">
        <w:rPr>
          <w:rFonts w:ascii="Times New Roman" w:hAnsi="Times New Roman" w:cs="Times New Roman"/>
          <w:sz w:val="24"/>
          <w:szCs w:val="24"/>
        </w:rPr>
        <w:br/>
        <w:t>v SR a v štáte Izrael bol v roku 2017 podporený jeden projekt vo výške 234 210 eur.</w:t>
      </w:r>
    </w:p>
    <w:p w14:paraId="52ED8222" w14:textId="77777777" w:rsidR="00070D19" w:rsidRPr="00A33A28" w:rsidRDefault="00070D19" w:rsidP="00070D19">
      <w:pPr>
        <w:tabs>
          <w:tab w:val="left" w:pos="0"/>
        </w:tabs>
        <w:spacing w:after="0" w:line="240" w:lineRule="auto"/>
        <w:ind w:firstLine="567"/>
        <w:contextualSpacing/>
        <w:jc w:val="both"/>
        <w:rPr>
          <w:rFonts w:ascii="Times New Roman" w:hAnsi="Times New Roman" w:cs="Times New Roman"/>
          <w:sz w:val="24"/>
          <w:szCs w:val="24"/>
        </w:rPr>
      </w:pPr>
    </w:p>
    <w:p w14:paraId="7CA63CD2" w14:textId="77777777" w:rsidR="00070D19" w:rsidRPr="00A33A28" w:rsidRDefault="00070D19" w:rsidP="00070D19">
      <w:pPr>
        <w:tabs>
          <w:tab w:val="left" w:pos="0"/>
        </w:tabs>
        <w:spacing w:after="0" w:line="240" w:lineRule="auto"/>
        <w:contextualSpacing/>
        <w:jc w:val="both"/>
        <w:rPr>
          <w:rFonts w:ascii="Times New Roman" w:hAnsi="Times New Roman" w:cs="Times New Roman"/>
          <w:i/>
          <w:sz w:val="24"/>
          <w:szCs w:val="24"/>
        </w:rPr>
      </w:pPr>
      <w:r w:rsidRPr="00A33A28">
        <w:rPr>
          <w:rFonts w:ascii="Times New Roman" w:hAnsi="Times New Roman" w:cs="Times New Roman"/>
          <w:i/>
          <w:sz w:val="24"/>
          <w:szCs w:val="24"/>
        </w:rPr>
        <w:t>Princíp 9 - Životné prostredie</w:t>
      </w:r>
    </w:p>
    <w:p w14:paraId="107848C4" w14:textId="77777777" w:rsidR="00070D19" w:rsidRPr="00A33A28" w:rsidRDefault="00070D19" w:rsidP="00070D19">
      <w:pPr>
        <w:tabs>
          <w:tab w:val="left" w:pos="0"/>
        </w:tabs>
        <w:spacing w:after="0" w:line="240" w:lineRule="auto"/>
        <w:ind w:firstLine="567"/>
        <w:contextualSpacing/>
        <w:jc w:val="both"/>
        <w:rPr>
          <w:rFonts w:ascii="Times New Roman" w:hAnsi="Times New Roman" w:cs="Times New Roman"/>
          <w:sz w:val="24"/>
          <w:szCs w:val="24"/>
        </w:rPr>
      </w:pPr>
      <w:r w:rsidRPr="00A33A28">
        <w:rPr>
          <w:rFonts w:ascii="Times New Roman" w:hAnsi="Times New Roman" w:cs="Times New Roman"/>
          <w:sz w:val="24"/>
          <w:szCs w:val="24"/>
        </w:rPr>
        <w:t xml:space="preserve">Významnou zmenou bolo prijatie zákona č. 79/2015 Z. z. o odpadoch a o zmene a doplnení niektorých zákonov, ktorý nahradil zákon č. 223/2001 Z. z. o odpadoch a aj zákon </w:t>
      </w:r>
      <w:r w:rsidRPr="00A33A28">
        <w:rPr>
          <w:rFonts w:ascii="Times New Roman" w:hAnsi="Times New Roman" w:cs="Times New Roman"/>
          <w:sz w:val="24"/>
          <w:szCs w:val="24"/>
        </w:rPr>
        <w:br/>
        <w:t xml:space="preserve">č. 119/2010 Z. z. o obaloch. </w:t>
      </w:r>
    </w:p>
    <w:p w14:paraId="718C4012" w14:textId="77777777" w:rsidR="00070D19" w:rsidRPr="00A33A28" w:rsidRDefault="00070D19" w:rsidP="00070D19">
      <w:pPr>
        <w:tabs>
          <w:tab w:val="left" w:pos="0"/>
        </w:tabs>
        <w:spacing w:after="0" w:line="240" w:lineRule="auto"/>
        <w:ind w:firstLine="567"/>
        <w:contextualSpacing/>
        <w:jc w:val="both"/>
        <w:rPr>
          <w:rFonts w:ascii="Times New Roman" w:hAnsi="Times New Roman" w:cs="Times New Roman"/>
          <w:sz w:val="24"/>
          <w:szCs w:val="24"/>
        </w:rPr>
      </w:pPr>
      <w:r w:rsidRPr="00A33A28">
        <w:rPr>
          <w:rFonts w:ascii="Times New Roman" w:hAnsi="Times New Roman" w:cs="Times New Roman"/>
          <w:sz w:val="24"/>
          <w:szCs w:val="24"/>
        </w:rPr>
        <w:t xml:space="preserve">Cieľom zákona je predchádzanie vzniku odpadu a teda zníženie množstva odpadov, ktoré sa zneškodňujú skládkovaním. Tento zákon obsahuje tri rozhodujúce zmeny. Prvou je zrušenie Recyklačného fondu (k 31. decembru 2016) a z toho vyplývajúce zrušenie povinnosti výrobcov </w:t>
      </w:r>
      <w:r w:rsidRPr="00A33A28">
        <w:rPr>
          <w:rFonts w:ascii="Times New Roman" w:hAnsi="Times New Roman" w:cs="Times New Roman"/>
          <w:sz w:val="24"/>
          <w:szCs w:val="24"/>
        </w:rPr>
        <w:br/>
        <w:t xml:space="preserve">a dovozcov platiť relevantný príspevok. Druhá zmena sa dotýka vzniku a fungovania organizácií zodpovednosti výrobcov. Treťou zmenou je výrazné sprísnenie podmienok kontroly výkupu kovového odpadu od fyzických osôb – nepodnikateľov a zákazu ukladať na skládky odpadov </w:t>
      </w:r>
      <w:r w:rsidRPr="00A33A28">
        <w:rPr>
          <w:rFonts w:ascii="Times New Roman" w:hAnsi="Times New Roman" w:cs="Times New Roman"/>
          <w:sz w:val="24"/>
          <w:szCs w:val="24"/>
        </w:rPr>
        <w:lastRenderedPageBreak/>
        <w:t xml:space="preserve">vytriedené zložky komunálneho odpadu, na ktoré sa uplatňuje rozšírená zodpovednosť výrobcov a vytriedený biologicky rozložiteľný odpad. </w:t>
      </w:r>
    </w:p>
    <w:p w14:paraId="2C82ED93" w14:textId="77777777" w:rsidR="00070D19" w:rsidRPr="00A33A28" w:rsidRDefault="00070D19" w:rsidP="00070D19">
      <w:pPr>
        <w:tabs>
          <w:tab w:val="left" w:pos="0"/>
        </w:tabs>
        <w:spacing w:after="0" w:line="240" w:lineRule="auto"/>
        <w:ind w:firstLine="567"/>
        <w:contextualSpacing/>
        <w:jc w:val="both"/>
        <w:rPr>
          <w:rFonts w:ascii="Times New Roman" w:hAnsi="Times New Roman" w:cs="Times New Roman"/>
          <w:sz w:val="24"/>
          <w:szCs w:val="24"/>
        </w:rPr>
      </w:pPr>
      <w:r w:rsidRPr="00A33A28">
        <w:rPr>
          <w:rFonts w:ascii="Times New Roman" w:hAnsi="Times New Roman" w:cs="Times New Roman"/>
          <w:sz w:val="24"/>
          <w:szCs w:val="24"/>
        </w:rPr>
        <w:t xml:space="preserve">Podpora obehovej ekonomiky, efektívneho využívania zdrojov a znižovania uhlíkovej stopy pokračovala v roku 2016 podporou investícií do udržateľnej energie zo strany Európskej banky pre obnovu a rozvoj (ďalej len „EBRD“). Vzhľadom na úspech prvých dvoch fáz programu SLOVSEFF pokračoval záujem slovenských bánk o sprostredkovanie a vzhľadom na vysoký záujem o projekty energetickej efektívnosti medzi menšími firmami a domácnosťami boli prostriedky dostupné v rámci tretej fázy programu (SLOVSEFF III) už začiatkom roka 2016 plne vyčerpané. EBRD preto pristúpila k navýšeniu o 60 mil. eur, čím sa celkový objem prostriedkov programu SLOVSEFF III vyšplhal na úroveň 100 mil. eur. </w:t>
      </w:r>
    </w:p>
    <w:p w14:paraId="35E0DDC5" w14:textId="77777777" w:rsidR="00070D19" w:rsidRPr="00A33A28" w:rsidRDefault="00070D19" w:rsidP="00070D19">
      <w:pPr>
        <w:tabs>
          <w:tab w:val="left" w:pos="0"/>
        </w:tabs>
        <w:spacing w:after="0" w:line="240" w:lineRule="auto"/>
        <w:ind w:firstLine="567"/>
        <w:contextualSpacing/>
        <w:jc w:val="both"/>
        <w:rPr>
          <w:rFonts w:ascii="Times New Roman" w:hAnsi="Times New Roman" w:cs="Times New Roman"/>
          <w:sz w:val="24"/>
          <w:szCs w:val="24"/>
        </w:rPr>
      </w:pPr>
      <w:r w:rsidRPr="00A33A28">
        <w:rPr>
          <w:rFonts w:ascii="Times New Roman" w:hAnsi="Times New Roman" w:cs="Times New Roman"/>
          <w:sz w:val="24"/>
          <w:szCs w:val="24"/>
        </w:rPr>
        <w:t xml:space="preserve">Na druhej strane, v oblasti podpory zo štrukturálnych fondov MSP neboli úspešné. </w:t>
      </w:r>
      <w:r w:rsidRPr="00A33A28">
        <w:rPr>
          <w:rFonts w:ascii="Times New Roman" w:hAnsi="Times New Roman" w:cs="Times New Roman"/>
          <w:sz w:val="24"/>
          <w:szCs w:val="24"/>
        </w:rPr>
        <w:br/>
        <w:t>Po medziročnom náraste pomoci poskytnutej v roku 2015 z Operačného programu Životné prostredie o 302,6 %, kedy dosiahol podiel pomoci poskytnutej MSP stále len 5 %, neboli v roku 2016 podporené žiadne MSP.</w:t>
      </w:r>
    </w:p>
    <w:p w14:paraId="0EA89F58" w14:textId="77777777" w:rsidR="00070D19" w:rsidRPr="00A33A28" w:rsidRDefault="00070D19" w:rsidP="00070D19">
      <w:pPr>
        <w:tabs>
          <w:tab w:val="left" w:pos="0"/>
        </w:tabs>
        <w:spacing w:after="0" w:line="240" w:lineRule="auto"/>
        <w:ind w:firstLine="567"/>
        <w:contextualSpacing/>
        <w:jc w:val="both"/>
        <w:rPr>
          <w:rFonts w:ascii="Times New Roman" w:hAnsi="Times New Roman" w:cs="Times New Roman"/>
          <w:sz w:val="24"/>
          <w:szCs w:val="24"/>
        </w:rPr>
      </w:pPr>
      <w:r w:rsidRPr="00A33A28">
        <w:rPr>
          <w:rFonts w:ascii="Times New Roman" w:hAnsi="Times New Roman" w:cs="Times New Roman"/>
          <w:sz w:val="24"/>
          <w:szCs w:val="24"/>
        </w:rPr>
        <w:t xml:space="preserve">Implementácia Finančného mechanizmu európskeho hospodárskeho priestoru a Nórskeho finančného mechanizmu prostredníctvom Úradu vlády SR umožnila čerpanie podpory MSP </w:t>
      </w:r>
      <w:r w:rsidRPr="00A33A28">
        <w:rPr>
          <w:rFonts w:ascii="Times New Roman" w:hAnsi="Times New Roman" w:cs="Times New Roman"/>
          <w:sz w:val="24"/>
          <w:szCs w:val="24"/>
        </w:rPr>
        <w:br/>
        <w:t xml:space="preserve">v rámci Schémy štátnej pomoci pre zelené inovácie v priemysle a Schémy na podporu zavádzania zelených inovácií v priemysle (schéma de </w:t>
      </w:r>
      <w:proofErr w:type="spellStart"/>
      <w:r w:rsidRPr="00A33A28">
        <w:rPr>
          <w:rFonts w:ascii="Times New Roman" w:hAnsi="Times New Roman" w:cs="Times New Roman"/>
          <w:sz w:val="24"/>
          <w:szCs w:val="24"/>
        </w:rPr>
        <w:t>Minimis</w:t>
      </w:r>
      <w:proofErr w:type="spellEnd"/>
      <w:r w:rsidRPr="00A33A28">
        <w:rPr>
          <w:rFonts w:ascii="Times New Roman" w:hAnsi="Times New Roman" w:cs="Times New Roman"/>
          <w:sz w:val="24"/>
          <w:szCs w:val="24"/>
        </w:rPr>
        <w:t xml:space="preserve">). Spolu bolo na rok 2016 </w:t>
      </w:r>
      <w:proofErr w:type="spellStart"/>
      <w:r w:rsidRPr="00A33A28">
        <w:rPr>
          <w:rFonts w:ascii="Times New Roman" w:hAnsi="Times New Roman" w:cs="Times New Roman"/>
          <w:sz w:val="24"/>
          <w:szCs w:val="24"/>
        </w:rPr>
        <w:t>zazmluvnených</w:t>
      </w:r>
      <w:proofErr w:type="spellEnd"/>
      <w:r w:rsidRPr="00A33A28">
        <w:rPr>
          <w:rFonts w:ascii="Times New Roman" w:hAnsi="Times New Roman" w:cs="Times New Roman"/>
          <w:sz w:val="24"/>
          <w:szCs w:val="24"/>
        </w:rPr>
        <w:t xml:space="preserve"> 6 projektov, z toho sa implementovalo 5 projektov. Podpora bola poskytnutá prostredníctvom nenávratného finančného príspevku (grantu). </w:t>
      </w:r>
    </w:p>
    <w:p w14:paraId="75F59F19" w14:textId="77777777" w:rsidR="00070D19" w:rsidRPr="00A33A28" w:rsidRDefault="00070D19" w:rsidP="00070D19">
      <w:pPr>
        <w:tabs>
          <w:tab w:val="left" w:pos="0"/>
        </w:tabs>
        <w:spacing w:after="0" w:line="240" w:lineRule="auto"/>
        <w:ind w:firstLine="567"/>
        <w:contextualSpacing/>
        <w:jc w:val="both"/>
        <w:rPr>
          <w:rFonts w:ascii="Times New Roman" w:hAnsi="Times New Roman" w:cs="Times New Roman"/>
          <w:sz w:val="24"/>
          <w:szCs w:val="24"/>
        </w:rPr>
      </w:pPr>
    </w:p>
    <w:p w14:paraId="6AE581C2" w14:textId="77777777" w:rsidR="00070D19" w:rsidRPr="00A33A28" w:rsidRDefault="00070D19" w:rsidP="00070D19">
      <w:pPr>
        <w:tabs>
          <w:tab w:val="left" w:pos="0"/>
        </w:tabs>
        <w:spacing w:after="0" w:line="240" w:lineRule="auto"/>
        <w:contextualSpacing/>
        <w:jc w:val="both"/>
        <w:rPr>
          <w:rFonts w:ascii="Times New Roman" w:hAnsi="Times New Roman" w:cs="Times New Roman"/>
          <w:i/>
          <w:sz w:val="24"/>
          <w:szCs w:val="24"/>
        </w:rPr>
      </w:pPr>
      <w:r w:rsidRPr="00A33A28">
        <w:rPr>
          <w:rFonts w:ascii="Times New Roman" w:hAnsi="Times New Roman" w:cs="Times New Roman"/>
          <w:i/>
          <w:sz w:val="24"/>
          <w:szCs w:val="24"/>
        </w:rPr>
        <w:t>Princíp 10 - Internacionalizácia podnikania</w:t>
      </w:r>
    </w:p>
    <w:p w14:paraId="01AFDD1A" w14:textId="77777777" w:rsidR="00070D19" w:rsidRPr="00A33A28" w:rsidRDefault="00070D19" w:rsidP="00070D19">
      <w:pPr>
        <w:tabs>
          <w:tab w:val="left" w:pos="0"/>
        </w:tabs>
        <w:spacing w:after="0" w:line="240" w:lineRule="auto"/>
        <w:ind w:firstLine="567"/>
        <w:contextualSpacing/>
        <w:jc w:val="both"/>
        <w:rPr>
          <w:rFonts w:ascii="Times New Roman" w:hAnsi="Times New Roman" w:cs="Times New Roman"/>
          <w:sz w:val="24"/>
          <w:szCs w:val="24"/>
        </w:rPr>
      </w:pPr>
      <w:r w:rsidRPr="00A33A28">
        <w:rPr>
          <w:rFonts w:ascii="Times New Roman" w:hAnsi="Times New Roman" w:cs="Times New Roman"/>
          <w:sz w:val="24"/>
          <w:szCs w:val="24"/>
        </w:rPr>
        <w:t xml:space="preserve">V roku 2016 sa podľa predbežných výsledkov Štatistického úradu Slovenskej republiky (ďalej len „ŠÚ SR“) celkový vývoz malých a stredných podnikov takmer nezmenil. </w:t>
      </w:r>
      <w:r w:rsidRPr="00A33A28">
        <w:rPr>
          <w:rFonts w:ascii="Times New Roman" w:hAnsi="Times New Roman" w:cs="Times New Roman"/>
          <w:sz w:val="24"/>
          <w:szCs w:val="24"/>
        </w:rPr>
        <w:br/>
        <w:t xml:space="preserve">V absolútnom vyjadrení dosiahol hodnotu 17 977,7 mil. eur (do údajov neboli započítané operácie vykonávané zahraničnými osobami). Podiel MSP na celkovom vývoze sa tiež takmer nezmenil, podobne ako v predchádzajúcom roku dosiahol 29,0 %. Podiel MSP na celkovom vývoze do krajín mimo EÚ dosahuje podľa údajov </w:t>
      </w:r>
      <w:proofErr w:type="spellStart"/>
      <w:r w:rsidRPr="00A33A28">
        <w:rPr>
          <w:rFonts w:ascii="Times New Roman" w:hAnsi="Times New Roman" w:cs="Times New Roman"/>
          <w:sz w:val="24"/>
          <w:szCs w:val="24"/>
        </w:rPr>
        <w:t>Eurostatu</w:t>
      </w:r>
      <w:proofErr w:type="spellEnd"/>
      <w:r w:rsidRPr="00A33A28">
        <w:rPr>
          <w:rFonts w:ascii="Times New Roman" w:hAnsi="Times New Roman" w:cs="Times New Roman"/>
          <w:sz w:val="24"/>
          <w:szCs w:val="24"/>
        </w:rPr>
        <w:t xml:space="preserve"> len 14,3 % (2014), o 3,8 p. b. menej ako v roku 2013, čo drží Slovensko na poslednej priečke v rámci krajín EÚ. </w:t>
      </w:r>
    </w:p>
    <w:p w14:paraId="52C1D808" w14:textId="77777777" w:rsidR="00070D19" w:rsidRPr="00A33A28" w:rsidRDefault="00070D19" w:rsidP="00070D19">
      <w:pPr>
        <w:tabs>
          <w:tab w:val="left" w:pos="0"/>
        </w:tabs>
        <w:spacing w:after="0" w:line="240" w:lineRule="auto"/>
        <w:ind w:firstLine="567"/>
        <w:contextualSpacing/>
        <w:jc w:val="both"/>
        <w:rPr>
          <w:rFonts w:ascii="Times New Roman" w:hAnsi="Times New Roman" w:cs="Times New Roman"/>
          <w:sz w:val="24"/>
          <w:szCs w:val="24"/>
        </w:rPr>
      </w:pPr>
      <w:r w:rsidRPr="00A33A28">
        <w:rPr>
          <w:rFonts w:ascii="Times New Roman" w:hAnsi="Times New Roman" w:cs="Times New Roman"/>
          <w:sz w:val="24"/>
          <w:szCs w:val="24"/>
        </w:rPr>
        <w:t xml:space="preserve">Úroveň medzinárodnej aktivity MSP je reflektovaná aj vo využívaní finančných nástrojov. V rámci finančných nástrojov EXIMBANKY SR dosiahol podiel úverov poskytnutých klientom segmentu MSP 22,95 % (pokles o 2,9 </w:t>
      </w:r>
      <w:proofErr w:type="spellStart"/>
      <w:r w:rsidRPr="00A33A28">
        <w:rPr>
          <w:rFonts w:ascii="Times New Roman" w:hAnsi="Times New Roman" w:cs="Times New Roman"/>
          <w:sz w:val="24"/>
          <w:szCs w:val="24"/>
        </w:rPr>
        <w:t>p.b</w:t>
      </w:r>
      <w:proofErr w:type="spellEnd"/>
      <w:r w:rsidRPr="00A33A28">
        <w:rPr>
          <w:rFonts w:ascii="Times New Roman" w:hAnsi="Times New Roman" w:cs="Times New Roman"/>
          <w:sz w:val="24"/>
          <w:szCs w:val="24"/>
        </w:rPr>
        <w:t>. v porovnaní s rokom 2015) z celkovej úverovej angažovanosti. Podiel vystavených záruk pre segment MSP predstavoval zanedbateľný podiel 1,51 % z celkového objemu vystavených záruk, ktorého veľkosť medziročne poklesla o 61,53 %  (2,02 mil. eur). Pritom využili MSP na export mimo krajín EÚ len 10,2 % z poskytnutých bankových produktov EXIMBANKY a 5,28 % v rámci poisťovacích produktov.</w:t>
      </w:r>
    </w:p>
    <w:p w14:paraId="71897D7A" w14:textId="77777777" w:rsidR="00070D19" w:rsidRDefault="00070D19" w:rsidP="00070D19">
      <w:pPr>
        <w:tabs>
          <w:tab w:val="left" w:pos="0"/>
        </w:tabs>
        <w:spacing w:after="0" w:line="240" w:lineRule="auto"/>
        <w:ind w:firstLine="567"/>
        <w:contextualSpacing/>
        <w:jc w:val="both"/>
        <w:rPr>
          <w:rFonts w:ascii="Times New Roman" w:hAnsi="Times New Roman" w:cs="Times New Roman"/>
          <w:sz w:val="24"/>
          <w:szCs w:val="24"/>
        </w:rPr>
      </w:pPr>
    </w:p>
    <w:p w14:paraId="429FA89B" w14:textId="77777777" w:rsidR="00070D19" w:rsidRDefault="00070D19" w:rsidP="00070D19">
      <w:pPr>
        <w:tabs>
          <w:tab w:val="left" w:pos="0"/>
        </w:tabs>
        <w:spacing w:after="0" w:line="240" w:lineRule="auto"/>
        <w:ind w:firstLine="567"/>
        <w:contextualSpacing/>
        <w:jc w:val="both"/>
        <w:rPr>
          <w:rFonts w:ascii="Times New Roman" w:hAnsi="Times New Roman" w:cs="Times New Roman"/>
          <w:sz w:val="24"/>
          <w:szCs w:val="24"/>
        </w:rPr>
      </w:pPr>
    </w:p>
    <w:p w14:paraId="021422BF" w14:textId="77777777" w:rsidR="00070D19" w:rsidRDefault="00070D19" w:rsidP="00070D19">
      <w:pPr>
        <w:tabs>
          <w:tab w:val="left" w:pos="0"/>
        </w:tabs>
        <w:spacing w:after="0" w:line="240" w:lineRule="auto"/>
        <w:ind w:firstLine="567"/>
        <w:contextualSpacing/>
        <w:jc w:val="both"/>
        <w:rPr>
          <w:rFonts w:ascii="Times New Roman" w:hAnsi="Times New Roman" w:cs="Times New Roman"/>
          <w:sz w:val="24"/>
          <w:szCs w:val="24"/>
        </w:rPr>
      </w:pPr>
    </w:p>
    <w:p w14:paraId="5985A418" w14:textId="77777777" w:rsidR="00070D19" w:rsidRDefault="00070D19" w:rsidP="00070D19">
      <w:pPr>
        <w:tabs>
          <w:tab w:val="left" w:pos="0"/>
        </w:tabs>
        <w:spacing w:after="0" w:line="240" w:lineRule="auto"/>
        <w:ind w:firstLine="567"/>
        <w:contextualSpacing/>
        <w:jc w:val="both"/>
        <w:rPr>
          <w:rFonts w:ascii="Times New Roman" w:hAnsi="Times New Roman" w:cs="Times New Roman"/>
          <w:sz w:val="24"/>
          <w:szCs w:val="24"/>
        </w:rPr>
      </w:pPr>
    </w:p>
    <w:p w14:paraId="76F51B16" w14:textId="77777777" w:rsidR="00070D19" w:rsidRDefault="00070D19" w:rsidP="00070D19">
      <w:pPr>
        <w:tabs>
          <w:tab w:val="left" w:pos="0"/>
        </w:tabs>
        <w:spacing w:after="0" w:line="240" w:lineRule="auto"/>
        <w:ind w:firstLine="567"/>
        <w:contextualSpacing/>
        <w:jc w:val="both"/>
        <w:rPr>
          <w:rFonts w:ascii="Times New Roman" w:hAnsi="Times New Roman" w:cs="Times New Roman"/>
          <w:sz w:val="24"/>
          <w:szCs w:val="24"/>
        </w:rPr>
      </w:pPr>
    </w:p>
    <w:p w14:paraId="341D2131" w14:textId="77777777" w:rsidR="00070D19" w:rsidRDefault="00070D19" w:rsidP="00070D19">
      <w:pPr>
        <w:tabs>
          <w:tab w:val="left" w:pos="0"/>
        </w:tabs>
        <w:spacing w:after="0" w:line="240" w:lineRule="auto"/>
        <w:ind w:firstLine="567"/>
        <w:contextualSpacing/>
        <w:jc w:val="both"/>
        <w:rPr>
          <w:rFonts w:ascii="Times New Roman" w:hAnsi="Times New Roman" w:cs="Times New Roman"/>
          <w:sz w:val="24"/>
          <w:szCs w:val="24"/>
        </w:rPr>
      </w:pPr>
    </w:p>
    <w:p w14:paraId="5C8F1490" w14:textId="4E48B09A" w:rsidR="00070D19" w:rsidRDefault="00070D19" w:rsidP="00070D19">
      <w:pPr>
        <w:tabs>
          <w:tab w:val="left" w:pos="0"/>
        </w:tabs>
        <w:spacing w:after="0" w:line="240" w:lineRule="auto"/>
        <w:ind w:firstLine="567"/>
        <w:contextualSpacing/>
        <w:jc w:val="both"/>
        <w:rPr>
          <w:rFonts w:ascii="Times New Roman" w:hAnsi="Times New Roman" w:cs="Times New Roman"/>
          <w:sz w:val="24"/>
          <w:szCs w:val="24"/>
        </w:rPr>
      </w:pPr>
    </w:p>
    <w:p w14:paraId="55ABE461" w14:textId="7144F6B1" w:rsidR="00070D19" w:rsidRDefault="00070D19" w:rsidP="00070D19">
      <w:pPr>
        <w:tabs>
          <w:tab w:val="left" w:pos="0"/>
        </w:tabs>
        <w:spacing w:after="0" w:line="240" w:lineRule="auto"/>
        <w:ind w:firstLine="567"/>
        <w:contextualSpacing/>
        <w:jc w:val="both"/>
        <w:rPr>
          <w:rFonts w:ascii="Times New Roman" w:hAnsi="Times New Roman" w:cs="Times New Roman"/>
          <w:sz w:val="24"/>
          <w:szCs w:val="24"/>
        </w:rPr>
      </w:pPr>
    </w:p>
    <w:p w14:paraId="7DB8C5A1" w14:textId="23CC158E" w:rsidR="00070D19" w:rsidRDefault="00070D19" w:rsidP="00070D19">
      <w:pPr>
        <w:tabs>
          <w:tab w:val="left" w:pos="0"/>
        </w:tabs>
        <w:spacing w:after="0" w:line="240" w:lineRule="auto"/>
        <w:ind w:firstLine="567"/>
        <w:contextualSpacing/>
        <w:jc w:val="both"/>
        <w:rPr>
          <w:rFonts w:ascii="Times New Roman" w:hAnsi="Times New Roman" w:cs="Times New Roman"/>
          <w:sz w:val="24"/>
          <w:szCs w:val="24"/>
        </w:rPr>
      </w:pPr>
    </w:p>
    <w:p w14:paraId="6763AC52" w14:textId="77777777" w:rsidR="00070D19" w:rsidRDefault="00070D19" w:rsidP="00070D19">
      <w:pPr>
        <w:tabs>
          <w:tab w:val="left" w:pos="0"/>
        </w:tabs>
        <w:spacing w:after="0" w:line="240" w:lineRule="auto"/>
        <w:ind w:firstLine="567"/>
        <w:contextualSpacing/>
        <w:jc w:val="both"/>
        <w:rPr>
          <w:rFonts w:ascii="Times New Roman" w:hAnsi="Times New Roman" w:cs="Times New Roman"/>
          <w:sz w:val="24"/>
          <w:szCs w:val="24"/>
        </w:rPr>
      </w:pPr>
    </w:p>
    <w:p w14:paraId="7814C841" w14:textId="77777777" w:rsidR="00070D19" w:rsidRDefault="00070D19" w:rsidP="00070D19">
      <w:pPr>
        <w:tabs>
          <w:tab w:val="left" w:pos="0"/>
        </w:tabs>
        <w:spacing w:after="0" w:line="240" w:lineRule="auto"/>
        <w:ind w:firstLine="567"/>
        <w:contextualSpacing/>
        <w:jc w:val="both"/>
        <w:rPr>
          <w:rFonts w:ascii="Times New Roman" w:hAnsi="Times New Roman" w:cs="Times New Roman"/>
          <w:sz w:val="24"/>
          <w:szCs w:val="24"/>
        </w:rPr>
      </w:pPr>
    </w:p>
    <w:p w14:paraId="50534DB0" w14:textId="77777777" w:rsidR="00070D19" w:rsidRDefault="00070D19" w:rsidP="00070D19">
      <w:pPr>
        <w:tabs>
          <w:tab w:val="left" w:pos="0"/>
        </w:tabs>
        <w:spacing w:after="0" w:line="240" w:lineRule="auto"/>
        <w:ind w:firstLine="567"/>
        <w:contextualSpacing/>
        <w:jc w:val="both"/>
        <w:rPr>
          <w:rFonts w:ascii="Times New Roman" w:hAnsi="Times New Roman" w:cs="Times New Roman"/>
          <w:sz w:val="24"/>
          <w:szCs w:val="24"/>
        </w:rPr>
      </w:pPr>
    </w:p>
    <w:p w14:paraId="26D83E51" w14:textId="77777777" w:rsidR="00070D19" w:rsidRDefault="00070D19" w:rsidP="00070D19">
      <w:pPr>
        <w:tabs>
          <w:tab w:val="left" w:pos="0"/>
        </w:tabs>
        <w:spacing w:after="0" w:line="240" w:lineRule="auto"/>
        <w:ind w:firstLine="567"/>
        <w:contextualSpacing/>
        <w:jc w:val="both"/>
        <w:rPr>
          <w:rFonts w:ascii="Times New Roman" w:hAnsi="Times New Roman" w:cs="Times New Roman"/>
          <w:sz w:val="24"/>
          <w:szCs w:val="24"/>
        </w:rPr>
      </w:pPr>
    </w:p>
    <w:p w14:paraId="5F0DCA33" w14:textId="77777777" w:rsidR="00506C08" w:rsidRDefault="00506C08" w:rsidP="00070D19">
      <w:pPr>
        <w:spacing w:after="0" w:line="240" w:lineRule="auto"/>
        <w:jc w:val="both"/>
        <w:rPr>
          <w:rFonts w:ascii="Times New Roman" w:eastAsia="Times New Roman" w:hAnsi="Times New Roman" w:cs="Times New Roman"/>
          <w:b/>
          <w:bCs/>
          <w:iCs/>
          <w:kern w:val="32"/>
          <w:sz w:val="28"/>
          <w:szCs w:val="28"/>
        </w:rPr>
      </w:pPr>
    </w:p>
    <w:p w14:paraId="448ACF5B" w14:textId="77777777" w:rsidR="00506C08" w:rsidRDefault="00506C08" w:rsidP="00070D19">
      <w:pPr>
        <w:spacing w:after="0" w:line="240" w:lineRule="auto"/>
        <w:jc w:val="both"/>
        <w:rPr>
          <w:rFonts w:ascii="Times New Roman" w:eastAsia="Times New Roman" w:hAnsi="Times New Roman" w:cs="Times New Roman"/>
          <w:b/>
          <w:bCs/>
          <w:iCs/>
          <w:kern w:val="32"/>
          <w:sz w:val="28"/>
          <w:szCs w:val="28"/>
        </w:rPr>
      </w:pPr>
    </w:p>
    <w:p w14:paraId="4FF00711" w14:textId="77777777" w:rsidR="00506C08" w:rsidRDefault="00506C08" w:rsidP="00070D19">
      <w:pPr>
        <w:spacing w:after="0" w:line="240" w:lineRule="auto"/>
        <w:jc w:val="both"/>
        <w:rPr>
          <w:rFonts w:ascii="Times New Roman" w:eastAsia="Times New Roman" w:hAnsi="Times New Roman" w:cs="Times New Roman"/>
          <w:b/>
          <w:bCs/>
          <w:iCs/>
          <w:kern w:val="32"/>
          <w:sz w:val="28"/>
          <w:szCs w:val="28"/>
        </w:rPr>
      </w:pPr>
    </w:p>
    <w:p w14:paraId="013C49AC" w14:textId="77777777" w:rsidR="00506C08" w:rsidRDefault="00506C08" w:rsidP="00070D19">
      <w:pPr>
        <w:spacing w:after="0" w:line="240" w:lineRule="auto"/>
        <w:jc w:val="both"/>
        <w:rPr>
          <w:rFonts w:ascii="Times New Roman" w:eastAsia="Times New Roman" w:hAnsi="Times New Roman" w:cs="Times New Roman"/>
          <w:b/>
          <w:bCs/>
          <w:iCs/>
          <w:kern w:val="32"/>
          <w:sz w:val="28"/>
          <w:szCs w:val="28"/>
        </w:rPr>
      </w:pPr>
    </w:p>
    <w:p w14:paraId="50DB7A0C" w14:textId="4B2262FC" w:rsidR="00070D19" w:rsidRPr="00A33A28" w:rsidRDefault="00070D19" w:rsidP="00070D19">
      <w:pPr>
        <w:spacing w:after="0" w:line="240" w:lineRule="auto"/>
        <w:jc w:val="both"/>
        <w:rPr>
          <w:rFonts w:ascii="Times New Roman" w:hAnsi="Times New Roman" w:cs="Times New Roman"/>
          <w:b/>
          <w:sz w:val="28"/>
          <w:szCs w:val="28"/>
        </w:rPr>
      </w:pPr>
      <w:r w:rsidRPr="00A33A28">
        <w:rPr>
          <w:rFonts w:ascii="Times New Roman" w:eastAsia="Times New Roman" w:hAnsi="Times New Roman" w:cs="Times New Roman"/>
          <w:b/>
          <w:bCs/>
          <w:iCs/>
          <w:kern w:val="32"/>
          <w:sz w:val="28"/>
          <w:szCs w:val="28"/>
        </w:rPr>
        <w:lastRenderedPageBreak/>
        <w:t xml:space="preserve">4. </w:t>
      </w:r>
      <w:r w:rsidRPr="00A33A28">
        <w:rPr>
          <w:rFonts w:ascii="Times New Roman" w:hAnsi="Times New Roman" w:cs="Times New Roman"/>
          <w:b/>
          <w:sz w:val="28"/>
          <w:szCs w:val="28"/>
        </w:rPr>
        <w:t xml:space="preserve"> Vyhodnotenie plnenia opatrení na zlepšenie podnikateľského prostredia na Slovensku k 31. 12. 2017</w:t>
      </w:r>
    </w:p>
    <w:p w14:paraId="0EE60949" w14:textId="77777777" w:rsidR="00070D19" w:rsidRPr="00A33A28" w:rsidRDefault="00070D19" w:rsidP="00070D19">
      <w:pPr>
        <w:spacing w:after="0" w:line="240" w:lineRule="auto"/>
        <w:ind w:firstLine="851"/>
        <w:jc w:val="both"/>
        <w:rPr>
          <w:rFonts w:ascii="Times New Roman" w:hAnsi="Times New Roman" w:cs="Times New Roman"/>
          <w:color w:val="000000"/>
          <w:sz w:val="24"/>
          <w:szCs w:val="24"/>
          <w:shd w:val="clear" w:color="auto" w:fill="FFFFFF"/>
        </w:rPr>
      </w:pPr>
    </w:p>
    <w:p w14:paraId="29FEF0B7" w14:textId="77777777" w:rsidR="00070D19" w:rsidRPr="00A33A28" w:rsidRDefault="00070D19" w:rsidP="00070D19">
      <w:pPr>
        <w:spacing w:after="0" w:line="240" w:lineRule="auto"/>
        <w:ind w:firstLine="851"/>
        <w:jc w:val="both"/>
        <w:rPr>
          <w:rFonts w:ascii="Times New Roman" w:hAnsi="Times New Roman" w:cs="Times New Roman"/>
          <w:color w:val="000000"/>
          <w:sz w:val="24"/>
          <w:szCs w:val="24"/>
        </w:rPr>
      </w:pPr>
      <w:r w:rsidRPr="00A33A28">
        <w:rPr>
          <w:rFonts w:ascii="Times New Roman" w:hAnsi="Times New Roman" w:cs="Times New Roman"/>
          <w:color w:val="000000"/>
          <w:sz w:val="24"/>
          <w:szCs w:val="24"/>
          <w:shd w:val="clear" w:color="auto" w:fill="FFFFFF"/>
        </w:rPr>
        <w:t xml:space="preserve">Neustále zlepšovanie podnikateľského prostredia je predpokladom na zvyšovanie spokojnosti podnikateľov, rozvoj podnikania, zvýšenie produkcie Slovenska a zlepšenie pozície SR v medzinárodných rebríčkoch hodnotiacich podnikateľské prostredie. V tomto zmysle vláda SR schválila uznesením č. 327 z 28. júna 2017 </w:t>
      </w:r>
      <w:r w:rsidRPr="00A33A28">
        <w:rPr>
          <w:rFonts w:ascii="Times New Roman" w:hAnsi="Times New Roman" w:cs="Times New Roman"/>
          <w:color w:val="000000"/>
          <w:sz w:val="24"/>
          <w:szCs w:val="24"/>
        </w:rPr>
        <w:t xml:space="preserve">„Návrh opatrení na zlepšenie podnikateľského prostredia“, vďaka ktorému by mal podnikateľský sektor ušetriť ročne vyše 44 miliónov eur. </w:t>
      </w:r>
    </w:p>
    <w:p w14:paraId="346562FD" w14:textId="77777777" w:rsidR="00070D19" w:rsidRPr="00A33A28" w:rsidRDefault="00070D19" w:rsidP="00070D19">
      <w:pPr>
        <w:spacing w:after="0" w:line="240" w:lineRule="auto"/>
        <w:ind w:firstLine="851"/>
        <w:jc w:val="both"/>
        <w:rPr>
          <w:rFonts w:ascii="Times New Roman" w:hAnsi="Times New Roman" w:cs="Times New Roman"/>
          <w:color w:val="000000"/>
          <w:sz w:val="24"/>
          <w:szCs w:val="24"/>
        </w:rPr>
      </w:pPr>
    </w:p>
    <w:p w14:paraId="30935AD4" w14:textId="77777777" w:rsidR="00070D19" w:rsidRPr="00A33A28" w:rsidRDefault="00070D19" w:rsidP="00070D19">
      <w:pPr>
        <w:spacing w:after="0" w:line="240" w:lineRule="auto"/>
        <w:ind w:firstLine="851"/>
        <w:jc w:val="both"/>
        <w:rPr>
          <w:rFonts w:ascii="Times New Roman" w:hAnsi="Times New Roman" w:cs="Times New Roman"/>
          <w:color w:val="000000"/>
          <w:sz w:val="24"/>
          <w:szCs w:val="24"/>
        </w:rPr>
      </w:pPr>
      <w:r w:rsidRPr="00A33A28">
        <w:rPr>
          <w:rFonts w:ascii="Times New Roman" w:hAnsi="Times New Roman" w:cs="Times New Roman"/>
          <w:color w:val="000000"/>
          <w:sz w:val="24"/>
          <w:szCs w:val="24"/>
        </w:rPr>
        <w:t xml:space="preserve">V nasledujúcej časti tejto správy dávame priestor na odpočet opatrení prvého balíčka, ktoré mali termín plnenia nastavený do 31. decembra 2017, popr. sú plnené priebežne. Tieto opatrenia budú v stručnosti popísané a bude priblížený stav plnenia zodpovednými rezortmi. </w:t>
      </w:r>
    </w:p>
    <w:p w14:paraId="20104578" w14:textId="77777777" w:rsidR="00070D19" w:rsidRPr="00A33A28" w:rsidRDefault="00070D19" w:rsidP="00070D19">
      <w:pPr>
        <w:spacing w:after="0" w:line="240" w:lineRule="auto"/>
        <w:jc w:val="both"/>
        <w:rPr>
          <w:rFonts w:ascii="Times New Roman" w:hAnsi="Times New Roman" w:cs="Times New Roman"/>
          <w:b/>
          <w:color w:val="000000"/>
          <w:sz w:val="24"/>
          <w:szCs w:val="24"/>
          <w:u w:val="single"/>
        </w:rPr>
      </w:pPr>
    </w:p>
    <w:p w14:paraId="2B45C6E4" w14:textId="77777777" w:rsidR="00070D19" w:rsidRPr="00A33A28" w:rsidRDefault="00070D19" w:rsidP="00070D19">
      <w:pPr>
        <w:spacing w:after="0" w:line="240" w:lineRule="auto"/>
        <w:jc w:val="both"/>
        <w:rPr>
          <w:rFonts w:ascii="Times New Roman" w:hAnsi="Times New Roman" w:cs="Times New Roman"/>
          <w:b/>
          <w:color w:val="000000"/>
          <w:sz w:val="24"/>
          <w:szCs w:val="24"/>
          <w:u w:val="single"/>
        </w:rPr>
      </w:pPr>
      <w:r w:rsidRPr="00A33A28">
        <w:rPr>
          <w:rFonts w:ascii="Times New Roman" w:hAnsi="Times New Roman" w:cs="Times New Roman"/>
          <w:b/>
          <w:color w:val="000000"/>
          <w:sz w:val="24"/>
          <w:szCs w:val="24"/>
          <w:u w:val="single"/>
        </w:rPr>
        <w:t>Opatrenie č. 1</w:t>
      </w:r>
    </w:p>
    <w:p w14:paraId="2EEBD872" w14:textId="77777777" w:rsidR="00070D19" w:rsidRPr="00A33A28" w:rsidRDefault="00070D19" w:rsidP="00070D19">
      <w:pPr>
        <w:spacing w:after="0" w:line="240" w:lineRule="auto"/>
        <w:jc w:val="both"/>
        <w:rPr>
          <w:rFonts w:ascii="Times New Roman" w:hAnsi="Times New Roman" w:cs="Times New Roman"/>
          <w:b/>
          <w:color w:val="000000"/>
          <w:sz w:val="24"/>
          <w:szCs w:val="24"/>
        </w:rPr>
      </w:pPr>
      <w:r w:rsidRPr="00A33A28">
        <w:rPr>
          <w:rFonts w:ascii="Times New Roman" w:hAnsi="Times New Roman" w:cs="Times New Roman"/>
          <w:b/>
          <w:sz w:val="24"/>
          <w:szCs w:val="24"/>
        </w:rPr>
        <w:t>Predĺženie lehoty na odhlásenie zamestnanca zo Sociálnej poisťovne z 1 dňa na 8 dní.</w:t>
      </w:r>
    </w:p>
    <w:p w14:paraId="28DB490F" w14:textId="77777777" w:rsidR="00070D19" w:rsidRPr="00A33A28" w:rsidRDefault="00070D19" w:rsidP="00070D19">
      <w:pPr>
        <w:spacing w:after="0" w:line="240" w:lineRule="auto"/>
        <w:ind w:left="2127" w:hanging="2127"/>
        <w:jc w:val="both"/>
        <w:rPr>
          <w:rFonts w:ascii="Times New Roman" w:hAnsi="Times New Roman" w:cs="Times New Roman"/>
          <w:b/>
          <w:sz w:val="24"/>
          <w:szCs w:val="24"/>
        </w:rPr>
      </w:pPr>
      <w:r w:rsidRPr="00A33A28">
        <w:rPr>
          <w:rFonts w:ascii="Times New Roman" w:hAnsi="Times New Roman" w:cs="Times New Roman"/>
          <w:b/>
          <w:sz w:val="24"/>
          <w:szCs w:val="24"/>
        </w:rPr>
        <w:t xml:space="preserve">Zodpovedný: </w:t>
      </w:r>
      <w:r w:rsidRPr="00A33A28">
        <w:rPr>
          <w:rFonts w:ascii="Times New Roman" w:hAnsi="Times New Roman" w:cs="Times New Roman"/>
          <w:b/>
          <w:sz w:val="24"/>
          <w:szCs w:val="24"/>
        </w:rPr>
        <w:tab/>
      </w:r>
      <w:r w:rsidRPr="00A33A28">
        <w:rPr>
          <w:rFonts w:ascii="Times New Roman" w:hAnsi="Times New Roman" w:cs="Times New Roman"/>
          <w:sz w:val="24"/>
          <w:szCs w:val="24"/>
        </w:rPr>
        <w:t>Ministerstvo práce, sociálnych vecí a rodiny SR</w:t>
      </w:r>
    </w:p>
    <w:p w14:paraId="7F8E8E66" w14:textId="77777777" w:rsidR="00070D19" w:rsidRPr="00A33A28" w:rsidRDefault="00070D19" w:rsidP="00070D19">
      <w:pPr>
        <w:spacing w:after="0" w:line="240" w:lineRule="auto"/>
        <w:ind w:left="2127" w:hanging="2127"/>
        <w:jc w:val="both"/>
        <w:rPr>
          <w:rFonts w:ascii="Times New Roman" w:hAnsi="Times New Roman" w:cs="Times New Roman"/>
          <w:sz w:val="24"/>
          <w:szCs w:val="24"/>
        </w:rPr>
      </w:pPr>
      <w:r w:rsidRPr="00A33A28">
        <w:rPr>
          <w:rFonts w:ascii="Times New Roman" w:hAnsi="Times New Roman" w:cs="Times New Roman"/>
          <w:b/>
          <w:sz w:val="24"/>
          <w:szCs w:val="24"/>
        </w:rPr>
        <w:t>Plnenie k 12/2017:</w:t>
      </w:r>
      <w:r w:rsidRPr="00A33A28">
        <w:rPr>
          <w:rFonts w:ascii="Times New Roman" w:hAnsi="Times New Roman" w:cs="Times New Roman"/>
          <w:sz w:val="24"/>
          <w:szCs w:val="24"/>
        </w:rPr>
        <w:tab/>
      </w:r>
      <w:r w:rsidRPr="00A33A28">
        <w:rPr>
          <w:rFonts w:ascii="Times New Roman" w:hAnsi="Times New Roman" w:cs="Times New Roman"/>
          <w:b/>
          <w:sz w:val="24"/>
          <w:szCs w:val="24"/>
        </w:rPr>
        <w:t>Splnené</w:t>
      </w:r>
    </w:p>
    <w:p w14:paraId="1AF9E9F9" w14:textId="77777777" w:rsidR="00070D19" w:rsidRPr="00A33A28" w:rsidRDefault="00070D19" w:rsidP="00070D19">
      <w:pPr>
        <w:spacing w:after="0" w:line="240" w:lineRule="auto"/>
        <w:ind w:left="2127"/>
        <w:jc w:val="both"/>
        <w:rPr>
          <w:rFonts w:ascii="Times New Roman" w:hAnsi="Times New Roman" w:cs="Times New Roman"/>
          <w:sz w:val="24"/>
          <w:szCs w:val="24"/>
        </w:rPr>
      </w:pPr>
      <w:r w:rsidRPr="00A33A28">
        <w:rPr>
          <w:rFonts w:ascii="Times New Roman" w:hAnsi="Times New Roman" w:cs="Times New Roman"/>
          <w:sz w:val="24"/>
          <w:szCs w:val="24"/>
        </w:rPr>
        <w:t>Úloha bola splnená nadobudnutím účinnosti zákona č. 266/2017 Z. z., ktorým sa mení a dopĺňa zákon č. 461/2003 Z. z. o sociálnom poistení v znení neskorších predpisov a ktorým sa menia a dopĺňajú niektoré zákony. Zmenami vykonanými v § 231 ods. 1 písmo b) prvom bode zákona č. 461/2003 Z. z. o sociálnom poistení v znení neskorších predpisov bola splnená úloha a nadobudla účinnosť 1. januára 2018.</w:t>
      </w:r>
    </w:p>
    <w:p w14:paraId="0091C64F" w14:textId="77777777" w:rsidR="00070D19" w:rsidRPr="00A33A28" w:rsidRDefault="00070D19" w:rsidP="00070D19">
      <w:pPr>
        <w:spacing w:after="0" w:line="240" w:lineRule="auto"/>
        <w:jc w:val="both"/>
        <w:rPr>
          <w:rFonts w:ascii="Times New Roman" w:hAnsi="Times New Roman" w:cs="Times New Roman"/>
          <w:b/>
          <w:sz w:val="24"/>
          <w:szCs w:val="24"/>
          <w:u w:val="single"/>
        </w:rPr>
      </w:pPr>
    </w:p>
    <w:p w14:paraId="737177CC" w14:textId="77777777" w:rsidR="00070D19" w:rsidRPr="00A33A28" w:rsidRDefault="00070D19" w:rsidP="00070D19">
      <w:pPr>
        <w:spacing w:after="0" w:line="240" w:lineRule="auto"/>
        <w:jc w:val="both"/>
        <w:rPr>
          <w:rFonts w:ascii="Times New Roman" w:hAnsi="Times New Roman" w:cs="Times New Roman"/>
          <w:b/>
          <w:sz w:val="24"/>
          <w:szCs w:val="24"/>
          <w:u w:val="single"/>
        </w:rPr>
      </w:pPr>
      <w:r w:rsidRPr="00A33A28">
        <w:rPr>
          <w:rFonts w:ascii="Times New Roman" w:hAnsi="Times New Roman" w:cs="Times New Roman"/>
          <w:b/>
          <w:sz w:val="24"/>
          <w:szCs w:val="24"/>
          <w:u w:val="single"/>
        </w:rPr>
        <w:t>Opatrenie č. 4</w:t>
      </w:r>
    </w:p>
    <w:p w14:paraId="630DC8AA" w14:textId="77777777" w:rsidR="00070D19" w:rsidRPr="00A33A28" w:rsidRDefault="00070D19" w:rsidP="00070D19">
      <w:pPr>
        <w:spacing w:after="0" w:line="240" w:lineRule="auto"/>
        <w:jc w:val="both"/>
        <w:rPr>
          <w:rFonts w:ascii="Times New Roman" w:hAnsi="Times New Roman" w:cs="Times New Roman"/>
          <w:b/>
          <w:sz w:val="24"/>
          <w:szCs w:val="24"/>
        </w:rPr>
      </w:pPr>
      <w:r w:rsidRPr="00A33A28">
        <w:rPr>
          <w:rFonts w:ascii="Times New Roman" w:hAnsi="Times New Roman" w:cs="Times New Roman"/>
          <w:b/>
          <w:sz w:val="24"/>
          <w:szCs w:val="24"/>
        </w:rPr>
        <w:t>Prehodnotenie zdravotného dohľadu prostredníctvom pracovnej zdravotnej služby pre zamestnancov vykonávajúcich 1. a 2. kategórie prác.</w:t>
      </w:r>
    </w:p>
    <w:p w14:paraId="22D81B5E" w14:textId="77777777" w:rsidR="00070D19" w:rsidRPr="00A33A28" w:rsidRDefault="00070D19" w:rsidP="00070D19">
      <w:pPr>
        <w:spacing w:after="0" w:line="240" w:lineRule="auto"/>
        <w:ind w:left="2127" w:hanging="2127"/>
        <w:jc w:val="both"/>
        <w:rPr>
          <w:rFonts w:ascii="Times New Roman" w:hAnsi="Times New Roman" w:cs="Times New Roman"/>
          <w:b/>
          <w:sz w:val="24"/>
          <w:szCs w:val="24"/>
        </w:rPr>
      </w:pPr>
      <w:r w:rsidRPr="00A33A28">
        <w:rPr>
          <w:rFonts w:ascii="Times New Roman" w:hAnsi="Times New Roman" w:cs="Times New Roman"/>
          <w:b/>
          <w:sz w:val="24"/>
          <w:szCs w:val="24"/>
        </w:rPr>
        <w:t xml:space="preserve">Zodpovedný: </w:t>
      </w:r>
      <w:r w:rsidRPr="00A33A28">
        <w:rPr>
          <w:rFonts w:ascii="Times New Roman" w:hAnsi="Times New Roman" w:cs="Times New Roman"/>
          <w:b/>
          <w:sz w:val="24"/>
          <w:szCs w:val="24"/>
        </w:rPr>
        <w:tab/>
      </w:r>
      <w:r w:rsidRPr="00A33A28">
        <w:rPr>
          <w:rFonts w:ascii="Times New Roman" w:hAnsi="Times New Roman" w:cs="Times New Roman"/>
          <w:sz w:val="24"/>
          <w:szCs w:val="24"/>
        </w:rPr>
        <w:t>Ministerstvo zdravotníctva SR</w:t>
      </w:r>
    </w:p>
    <w:p w14:paraId="579EB76B" w14:textId="77777777" w:rsidR="00070D19" w:rsidRPr="00A33A28" w:rsidRDefault="00070D19" w:rsidP="00070D19">
      <w:pPr>
        <w:spacing w:after="0" w:line="240" w:lineRule="auto"/>
        <w:ind w:left="2127" w:hanging="2127"/>
        <w:jc w:val="both"/>
        <w:rPr>
          <w:rFonts w:ascii="Times New Roman" w:hAnsi="Times New Roman" w:cs="Times New Roman"/>
          <w:color w:val="000000"/>
          <w:sz w:val="24"/>
          <w:szCs w:val="24"/>
        </w:rPr>
      </w:pPr>
      <w:r w:rsidRPr="00A33A28">
        <w:rPr>
          <w:rFonts w:ascii="Times New Roman" w:hAnsi="Times New Roman" w:cs="Times New Roman"/>
          <w:b/>
          <w:color w:val="000000"/>
          <w:sz w:val="24"/>
          <w:szCs w:val="24"/>
        </w:rPr>
        <w:t>Plnenie k </w:t>
      </w:r>
      <w:r w:rsidRPr="00A33A28">
        <w:rPr>
          <w:rFonts w:ascii="Times New Roman" w:hAnsi="Times New Roman" w:cs="Times New Roman"/>
          <w:b/>
          <w:sz w:val="24"/>
          <w:szCs w:val="24"/>
        </w:rPr>
        <w:t>12/2017</w:t>
      </w:r>
      <w:r w:rsidRPr="00A33A28">
        <w:rPr>
          <w:rFonts w:ascii="Times New Roman" w:hAnsi="Times New Roman" w:cs="Times New Roman"/>
          <w:b/>
          <w:color w:val="000000"/>
          <w:sz w:val="24"/>
          <w:szCs w:val="24"/>
        </w:rPr>
        <w:t>:</w:t>
      </w:r>
      <w:r w:rsidRPr="00A33A28">
        <w:rPr>
          <w:rFonts w:ascii="Times New Roman" w:hAnsi="Times New Roman" w:cs="Times New Roman"/>
          <w:color w:val="000000"/>
          <w:sz w:val="24"/>
          <w:szCs w:val="24"/>
        </w:rPr>
        <w:tab/>
      </w:r>
      <w:r w:rsidRPr="00A33A28">
        <w:rPr>
          <w:rFonts w:ascii="Times New Roman" w:hAnsi="Times New Roman" w:cs="Times New Roman"/>
          <w:b/>
          <w:color w:val="000000"/>
          <w:sz w:val="24"/>
          <w:szCs w:val="24"/>
        </w:rPr>
        <w:t>Splnené</w:t>
      </w:r>
    </w:p>
    <w:p w14:paraId="7EEF6EA4" w14:textId="77777777" w:rsidR="00070D19" w:rsidRPr="00A33A28" w:rsidRDefault="00070D19" w:rsidP="00070D19">
      <w:pPr>
        <w:spacing w:after="0" w:line="240" w:lineRule="auto"/>
        <w:ind w:left="2127" w:hanging="3"/>
        <w:jc w:val="both"/>
        <w:rPr>
          <w:rFonts w:ascii="Times New Roman" w:hAnsi="Times New Roman" w:cs="Times New Roman"/>
          <w:b/>
          <w:color w:val="000000"/>
          <w:sz w:val="24"/>
          <w:szCs w:val="24"/>
        </w:rPr>
      </w:pPr>
      <w:r w:rsidRPr="00A33A28">
        <w:rPr>
          <w:rFonts w:ascii="Times New Roman" w:hAnsi="Times New Roman" w:cs="Times New Roman"/>
          <w:sz w:val="24"/>
          <w:szCs w:val="24"/>
        </w:rPr>
        <w:t xml:space="preserve">Úloha bola splnená </w:t>
      </w:r>
      <w:r w:rsidRPr="00A33A28">
        <w:rPr>
          <w:rFonts w:ascii="Times New Roman" w:hAnsi="Times New Roman" w:cs="Times New Roman"/>
          <w:color w:val="000000"/>
          <w:sz w:val="24"/>
          <w:szCs w:val="24"/>
        </w:rPr>
        <w:t xml:space="preserve">novelizáciou </w:t>
      </w:r>
      <w:r w:rsidRPr="00A33A28">
        <w:rPr>
          <w:rFonts w:ascii="Times New Roman" w:hAnsi="Times New Roman" w:cs="Times New Roman"/>
          <w:sz w:val="24"/>
          <w:szCs w:val="24"/>
        </w:rPr>
        <w:t xml:space="preserve">zákon č. 355/2007 Z. z. o ochrane, podpore a rozvoji verejného zdravia a o zmene a doplnení niektorých zákonov prehodnotením zdravotného dohľadu prostredníctvom pracovnej zdravotnej služby zamestnancov vykonávajúcich 1. a 2. kategóriu prác. Legislatívny návrh riešenia zabezpečenia pracovnej zdravotnej služby bol predložený na rokovanie vlády dňa 24. júla 2017, ako novela zákona </w:t>
      </w:r>
      <w:r w:rsidRPr="00A33A28">
        <w:rPr>
          <w:rFonts w:ascii="Times New Roman" w:hAnsi="Times New Roman" w:cs="Times New Roman"/>
          <w:sz w:val="24"/>
          <w:szCs w:val="24"/>
        </w:rPr>
        <w:br/>
        <w:t xml:space="preserve">č. 355/2007 Z. z. o ochrane, podpore a rozvoji verejného zdravia </w:t>
      </w:r>
      <w:r w:rsidRPr="00A33A28">
        <w:rPr>
          <w:rFonts w:ascii="Times New Roman" w:hAnsi="Times New Roman" w:cs="Times New Roman"/>
          <w:sz w:val="24"/>
          <w:szCs w:val="24"/>
        </w:rPr>
        <w:br/>
        <w:t>a o zmene a doplnení niektorých zákonov. Uznesením vlády SR č. 339/2017 bol schválený. Návrh zákona bol prerokovaný na 21. schôdzi Národnej rady Slovenskej republiky. Uznesením Národnej rady Slovenskej republiky č. 908 bol schválený 19. októbra 2017.</w:t>
      </w:r>
    </w:p>
    <w:p w14:paraId="42748390" w14:textId="77777777" w:rsidR="00070D19" w:rsidRPr="00A33A28" w:rsidRDefault="00070D19" w:rsidP="00070D19">
      <w:pPr>
        <w:spacing w:after="0" w:line="240" w:lineRule="auto"/>
        <w:jc w:val="both"/>
        <w:rPr>
          <w:rFonts w:ascii="Times New Roman" w:hAnsi="Times New Roman" w:cs="Times New Roman"/>
          <w:b/>
          <w:sz w:val="24"/>
          <w:szCs w:val="24"/>
          <w:u w:val="single"/>
        </w:rPr>
      </w:pPr>
    </w:p>
    <w:p w14:paraId="0AE7FA11" w14:textId="77777777" w:rsidR="00070D19" w:rsidRPr="00A33A28" w:rsidRDefault="00070D19" w:rsidP="00070D19">
      <w:pPr>
        <w:spacing w:after="0" w:line="240" w:lineRule="auto"/>
        <w:jc w:val="both"/>
        <w:rPr>
          <w:rFonts w:ascii="Times New Roman" w:hAnsi="Times New Roman" w:cs="Times New Roman"/>
          <w:b/>
          <w:sz w:val="24"/>
          <w:szCs w:val="24"/>
          <w:u w:val="single"/>
        </w:rPr>
      </w:pPr>
      <w:r w:rsidRPr="00A33A28">
        <w:rPr>
          <w:rFonts w:ascii="Times New Roman" w:hAnsi="Times New Roman" w:cs="Times New Roman"/>
          <w:b/>
          <w:sz w:val="24"/>
          <w:szCs w:val="24"/>
          <w:u w:val="single"/>
        </w:rPr>
        <w:t>Opatrenie č. 5</w:t>
      </w:r>
    </w:p>
    <w:p w14:paraId="00710DFC" w14:textId="77777777" w:rsidR="00070D19" w:rsidRPr="00A33A28" w:rsidRDefault="00070D19" w:rsidP="00070D19">
      <w:pPr>
        <w:spacing w:after="0" w:line="240" w:lineRule="auto"/>
        <w:jc w:val="both"/>
        <w:rPr>
          <w:rFonts w:ascii="Times New Roman" w:hAnsi="Times New Roman" w:cs="Times New Roman"/>
          <w:b/>
          <w:sz w:val="24"/>
          <w:szCs w:val="24"/>
        </w:rPr>
      </w:pPr>
      <w:r w:rsidRPr="00A33A28">
        <w:rPr>
          <w:rFonts w:ascii="Times New Roman" w:hAnsi="Times New Roman" w:cs="Times New Roman"/>
          <w:b/>
          <w:sz w:val="24"/>
          <w:szCs w:val="24"/>
        </w:rPr>
        <w:t>Vypracovať analýzu rozšírenia funkcionality Jednotného kontaktného miesta o komunikáciu so Sociálnou poisťovňou pri zamestnávaní prvého zamestnanca.</w:t>
      </w:r>
    </w:p>
    <w:p w14:paraId="0C322BAE" w14:textId="77777777" w:rsidR="00070D19" w:rsidRPr="00A33A28" w:rsidRDefault="00070D19" w:rsidP="00070D19">
      <w:pPr>
        <w:spacing w:after="0" w:line="240" w:lineRule="auto"/>
        <w:ind w:left="2127" w:hanging="2127"/>
        <w:jc w:val="both"/>
        <w:rPr>
          <w:rFonts w:ascii="Times New Roman" w:hAnsi="Times New Roman" w:cs="Times New Roman"/>
          <w:b/>
          <w:sz w:val="24"/>
          <w:szCs w:val="24"/>
        </w:rPr>
      </w:pPr>
      <w:r w:rsidRPr="00A33A28">
        <w:rPr>
          <w:rFonts w:ascii="Times New Roman" w:hAnsi="Times New Roman" w:cs="Times New Roman"/>
          <w:b/>
          <w:sz w:val="24"/>
          <w:szCs w:val="24"/>
        </w:rPr>
        <w:t xml:space="preserve">Zodpovedný: </w:t>
      </w:r>
      <w:r w:rsidRPr="00A33A28">
        <w:rPr>
          <w:rFonts w:ascii="Times New Roman" w:hAnsi="Times New Roman" w:cs="Times New Roman"/>
          <w:b/>
          <w:sz w:val="24"/>
          <w:szCs w:val="24"/>
        </w:rPr>
        <w:tab/>
      </w:r>
      <w:r w:rsidRPr="00A33A28">
        <w:rPr>
          <w:rFonts w:ascii="Times New Roman" w:hAnsi="Times New Roman" w:cs="Times New Roman"/>
          <w:sz w:val="24"/>
          <w:szCs w:val="24"/>
        </w:rPr>
        <w:t xml:space="preserve">Sociálna poisťovňa </w:t>
      </w:r>
    </w:p>
    <w:p w14:paraId="7BC26F5A" w14:textId="77777777" w:rsidR="00070D19" w:rsidRPr="00A33A28" w:rsidRDefault="00070D19" w:rsidP="00070D19">
      <w:pPr>
        <w:spacing w:after="0" w:line="240" w:lineRule="auto"/>
        <w:ind w:left="2127" w:hanging="2127"/>
        <w:jc w:val="both"/>
        <w:rPr>
          <w:rFonts w:ascii="Times New Roman" w:hAnsi="Times New Roman" w:cs="Times New Roman"/>
          <w:sz w:val="24"/>
          <w:szCs w:val="24"/>
        </w:rPr>
      </w:pPr>
      <w:r w:rsidRPr="00A33A28">
        <w:rPr>
          <w:rFonts w:ascii="Times New Roman" w:hAnsi="Times New Roman" w:cs="Times New Roman"/>
          <w:b/>
          <w:sz w:val="24"/>
          <w:szCs w:val="24"/>
        </w:rPr>
        <w:t>Plnenie k 12/2017:</w:t>
      </w:r>
      <w:r w:rsidRPr="00A33A28">
        <w:rPr>
          <w:rFonts w:ascii="Times New Roman" w:hAnsi="Times New Roman" w:cs="Times New Roman"/>
          <w:sz w:val="24"/>
          <w:szCs w:val="24"/>
        </w:rPr>
        <w:tab/>
      </w:r>
      <w:r w:rsidRPr="00A33A28">
        <w:rPr>
          <w:rFonts w:ascii="Times New Roman" w:hAnsi="Times New Roman" w:cs="Times New Roman"/>
          <w:b/>
          <w:sz w:val="24"/>
          <w:szCs w:val="24"/>
        </w:rPr>
        <w:t>Splnené</w:t>
      </w:r>
    </w:p>
    <w:p w14:paraId="6D36BD6D" w14:textId="77777777" w:rsidR="00070D19" w:rsidRPr="00A33A28" w:rsidRDefault="00070D19" w:rsidP="00070D19">
      <w:pPr>
        <w:spacing w:after="0" w:line="240" w:lineRule="auto"/>
        <w:ind w:left="2127" w:hanging="3"/>
        <w:jc w:val="both"/>
        <w:rPr>
          <w:rFonts w:ascii="Times New Roman" w:hAnsi="Times New Roman" w:cs="Times New Roman"/>
          <w:sz w:val="24"/>
          <w:szCs w:val="24"/>
        </w:rPr>
      </w:pPr>
      <w:r w:rsidRPr="00A33A28">
        <w:rPr>
          <w:rFonts w:ascii="Times New Roman" w:hAnsi="Times New Roman" w:cs="Times New Roman"/>
          <w:sz w:val="24"/>
          <w:szCs w:val="24"/>
        </w:rPr>
        <w:t xml:space="preserve">Návrh rozšírenia funkcionality JKM o komunikáciu so Sociálnou poisťovňou pri zamestnávaní prvého zamestnanca je podľa Sociálnej poisťovne zatiaľ právne nevykonateľné, keďže záujemca o podnikanie v čase vybavovania oprávnenia na podnikanie ešte nemá postavenie zamestnávateľa. Využitie takejto funkcionality JKM by bolo možné </w:t>
      </w:r>
      <w:r w:rsidRPr="00A33A28">
        <w:rPr>
          <w:rFonts w:ascii="Times New Roman" w:hAnsi="Times New Roman" w:cs="Times New Roman"/>
          <w:sz w:val="24"/>
          <w:szCs w:val="24"/>
        </w:rPr>
        <w:br/>
        <w:t xml:space="preserve">až v období po nadobudnutí postavenia zamestnávateľa. Zároveň Sociálna poisťovňa vykonala analýzu rozšírenia funkcionality JKM o komunikáciu so Sociálnou poisťovňou pri zamestnávaní prvého zamestnanca. </w:t>
      </w:r>
    </w:p>
    <w:p w14:paraId="680DEC37" w14:textId="77777777" w:rsidR="00070D19" w:rsidRPr="00A33A28" w:rsidRDefault="00070D19" w:rsidP="00070D19">
      <w:pPr>
        <w:spacing w:after="0" w:line="240" w:lineRule="auto"/>
        <w:jc w:val="both"/>
        <w:rPr>
          <w:rFonts w:ascii="Times New Roman" w:hAnsi="Times New Roman" w:cs="Times New Roman"/>
          <w:b/>
          <w:sz w:val="24"/>
          <w:szCs w:val="24"/>
        </w:rPr>
      </w:pPr>
    </w:p>
    <w:p w14:paraId="792BF04A" w14:textId="77777777" w:rsidR="00070D19" w:rsidRPr="00A33A28" w:rsidRDefault="00070D19" w:rsidP="00070D19">
      <w:pPr>
        <w:spacing w:after="0" w:line="240" w:lineRule="auto"/>
        <w:jc w:val="both"/>
        <w:rPr>
          <w:rFonts w:ascii="Times New Roman" w:hAnsi="Times New Roman" w:cs="Times New Roman"/>
          <w:b/>
          <w:sz w:val="24"/>
          <w:szCs w:val="24"/>
          <w:u w:val="single"/>
        </w:rPr>
      </w:pPr>
      <w:r w:rsidRPr="00A33A28">
        <w:rPr>
          <w:rFonts w:ascii="Times New Roman" w:hAnsi="Times New Roman" w:cs="Times New Roman"/>
          <w:b/>
          <w:sz w:val="24"/>
          <w:szCs w:val="24"/>
          <w:u w:val="single"/>
        </w:rPr>
        <w:t>Opatrenie č. 6</w:t>
      </w:r>
    </w:p>
    <w:p w14:paraId="25AE3FD2" w14:textId="77777777" w:rsidR="00070D19" w:rsidRPr="00A33A28" w:rsidRDefault="00070D19" w:rsidP="00070D19">
      <w:pPr>
        <w:spacing w:after="0" w:line="240" w:lineRule="auto"/>
        <w:jc w:val="both"/>
        <w:rPr>
          <w:rFonts w:ascii="Times New Roman" w:hAnsi="Times New Roman" w:cs="Times New Roman"/>
          <w:b/>
          <w:sz w:val="24"/>
          <w:szCs w:val="24"/>
        </w:rPr>
      </w:pPr>
      <w:r w:rsidRPr="00A33A28">
        <w:rPr>
          <w:rFonts w:ascii="Times New Roman" w:hAnsi="Times New Roman" w:cs="Times New Roman"/>
          <w:b/>
          <w:sz w:val="24"/>
          <w:szCs w:val="24"/>
        </w:rPr>
        <w:t>Predĺžiť lehotu na splnenie povinnosti zamestnávateľa predložiť Sociálnej poisťovni evidenčný list dôchodkového poistenia z troch na osem dní od skončenia pracovného pomeru.</w:t>
      </w:r>
    </w:p>
    <w:p w14:paraId="28D3155C" w14:textId="77777777" w:rsidR="00070D19" w:rsidRPr="00A33A28" w:rsidRDefault="00070D19" w:rsidP="00070D19">
      <w:pPr>
        <w:spacing w:after="0" w:line="240" w:lineRule="auto"/>
        <w:ind w:left="2127" w:hanging="2127"/>
        <w:jc w:val="both"/>
        <w:rPr>
          <w:rFonts w:ascii="Times New Roman" w:hAnsi="Times New Roman" w:cs="Times New Roman"/>
          <w:b/>
          <w:sz w:val="24"/>
          <w:szCs w:val="24"/>
        </w:rPr>
      </w:pPr>
      <w:r w:rsidRPr="00A33A28">
        <w:rPr>
          <w:rFonts w:ascii="Times New Roman" w:hAnsi="Times New Roman" w:cs="Times New Roman"/>
          <w:b/>
          <w:sz w:val="24"/>
          <w:szCs w:val="24"/>
        </w:rPr>
        <w:t xml:space="preserve">Zodpovedný: </w:t>
      </w:r>
      <w:r w:rsidRPr="00A33A28">
        <w:rPr>
          <w:rFonts w:ascii="Times New Roman" w:hAnsi="Times New Roman" w:cs="Times New Roman"/>
          <w:b/>
          <w:sz w:val="24"/>
          <w:szCs w:val="24"/>
        </w:rPr>
        <w:tab/>
      </w:r>
      <w:r w:rsidRPr="00A33A28">
        <w:rPr>
          <w:rFonts w:ascii="Times New Roman" w:hAnsi="Times New Roman" w:cs="Times New Roman"/>
          <w:sz w:val="24"/>
          <w:szCs w:val="24"/>
        </w:rPr>
        <w:t>Ministerstvo práce, sociálnych vecí a rodiny SR</w:t>
      </w:r>
    </w:p>
    <w:p w14:paraId="44E73B7F" w14:textId="77777777" w:rsidR="00070D19" w:rsidRPr="00A33A28" w:rsidRDefault="00070D19" w:rsidP="00070D19">
      <w:pPr>
        <w:spacing w:after="0" w:line="240" w:lineRule="auto"/>
        <w:ind w:left="2127" w:hanging="2127"/>
        <w:jc w:val="both"/>
        <w:rPr>
          <w:rFonts w:ascii="Times New Roman" w:hAnsi="Times New Roman" w:cs="Times New Roman"/>
          <w:sz w:val="24"/>
          <w:szCs w:val="24"/>
        </w:rPr>
      </w:pPr>
      <w:r w:rsidRPr="00A33A28">
        <w:rPr>
          <w:rFonts w:ascii="Times New Roman" w:hAnsi="Times New Roman" w:cs="Times New Roman"/>
          <w:b/>
          <w:sz w:val="24"/>
          <w:szCs w:val="24"/>
        </w:rPr>
        <w:t>Plnenie k 12/2017:</w:t>
      </w:r>
      <w:r w:rsidRPr="00A33A28">
        <w:rPr>
          <w:rFonts w:ascii="Times New Roman" w:hAnsi="Times New Roman" w:cs="Times New Roman"/>
          <w:sz w:val="24"/>
          <w:szCs w:val="24"/>
        </w:rPr>
        <w:tab/>
      </w:r>
      <w:r w:rsidRPr="00A33A28">
        <w:rPr>
          <w:rFonts w:ascii="Times New Roman" w:hAnsi="Times New Roman" w:cs="Times New Roman"/>
          <w:b/>
          <w:sz w:val="24"/>
          <w:szCs w:val="24"/>
        </w:rPr>
        <w:t>Splnené</w:t>
      </w:r>
    </w:p>
    <w:p w14:paraId="75E23F24" w14:textId="77777777" w:rsidR="00070D19" w:rsidRPr="00A33A28" w:rsidRDefault="00070D19" w:rsidP="00070D19">
      <w:pPr>
        <w:spacing w:after="0" w:line="240" w:lineRule="auto"/>
        <w:ind w:left="2127"/>
        <w:jc w:val="both"/>
        <w:rPr>
          <w:rFonts w:ascii="Times New Roman" w:hAnsi="Times New Roman" w:cs="Times New Roman"/>
          <w:sz w:val="24"/>
          <w:szCs w:val="24"/>
        </w:rPr>
      </w:pPr>
      <w:r w:rsidRPr="00A33A28">
        <w:rPr>
          <w:rFonts w:ascii="Times New Roman" w:hAnsi="Times New Roman" w:cs="Times New Roman"/>
          <w:sz w:val="24"/>
          <w:szCs w:val="24"/>
        </w:rPr>
        <w:t>Úloha bola splnená nadobudnutím účinnosti zákona č. 266/2017 Z. z., ktorým sa mení a dopĺňa zákon č. 461/2003 Z. z. o sociálnom poistení v znení neskorších predpisov a ktorým sa menia a dopĺňajú niektoré zákony. Zmenami vykonanými v § 231 ods. 1 písmo j) zákona č. 461/2003 Z. z. o sociálnom poistení v znení neskorších predpisov bola splnená úloha a nadobudla účinnosť 1. januára 2018.</w:t>
      </w:r>
    </w:p>
    <w:p w14:paraId="039D3747" w14:textId="77777777" w:rsidR="00070D19" w:rsidRPr="00A33A28" w:rsidRDefault="00070D19" w:rsidP="00070D19">
      <w:pPr>
        <w:spacing w:after="0" w:line="240" w:lineRule="auto"/>
        <w:jc w:val="both"/>
        <w:rPr>
          <w:rFonts w:ascii="Times New Roman" w:hAnsi="Times New Roman" w:cs="Times New Roman"/>
          <w:color w:val="000000"/>
          <w:sz w:val="24"/>
          <w:szCs w:val="24"/>
        </w:rPr>
      </w:pPr>
    </w:p>
    <w:p w14:paraId="415E412F" w14:textId="77777777" w:rsidR="00070D19" w:rsidRPr="00A33A28" w:rsidRDefault="00070D19" w:rsidP="00070D19">
      <w:pPr>
        <w:spacing w:after="0" w:line="240" w:lineRule="auto"/>
        <w:jc w:val="both"/>
        <w:rPr>
          <w:rFonts w:ascii="Times New Roman" w:hAnsi="Times New Roman" w:cs="Times New Roman"/>
          <w:b/>
          <w:sz w:val="24"/>
          <w:szCs w:val="24"/>
          <w:u w:val="single"/>
        </w:rPr>
      </w:pPr>
      <w:r w:rsidRPr="00A33A28">
        <w:rPr>
          <w:rFonts w:ascii="Times New Roman" w:hAnsi="Times New Roman" w:cs="Times New Roman"/>
          <w:b/>
          <w:sz w:val="24"/>
          <w:szCs w:val="24"/>
          <w:u w:val="single"/>
        </w:rPr>
        <w:t>Opatrenie č. 18</w:t>
      </w:r>
    </w:p>
    <w:p w14:paraId="57F79039" w14:textId="77777777" w:rsidR="00070D19" w:rsidRPr="00A33A28" w:rsidRDefault="00070D19" w:rsidP="00070D19">
      <w:pPr>
        <w:spacing w:after="0" w:line="240" w:lineRule="auto"/>
        <w:jc w:val="both"/>
        <w:rPr>
          <w:rFonts w:ascii="Times New Roman" w:hAnsi="Times New Roman" w:cs="Times New Roman"/>
          <w:b/>
          <w:sz w:val="24"/>
          <w:szCs w:val="24"/>
        </w:rPr>
      </w:pPr>
      <w:r w:rsidRPr="00A33A28">
        <w:rPr>
          <w:rFonts w:ascii="Times New Roman" w:hAnsi="Times New Roman" w:cs="Times New Roman"/>
          <w:b/>
          <w:sz w:val="24"/>
          <w:szCs w:val="24"/>
        </w:rPr>
        <w:t>Informovať podnikateľov o dostupných službách verejnej správy na Jednotnom kontaktnom mieste v nadväznosti na reformu verejnej správy ESO so zameraním na malé a stredné podniky.</w:t>
      </w:r>
    </w:p>
    <w:p w14:paraId="4F64C6FA" w14:textId="77777777" w:rsidR="00070D19" w:rsidRPr="00A33A28" w:rsidRDefault="00070D19" w:rsidP="00070D19">
      <w:pPr>
        <w:spacing w:after="0" w:line="240" w:lineRule="auto"/>
        <w:ind w:left="1985" w:hanging="1985"/>
        <w:jc w:val="both"/>
        <w:rPr>
          <w:rFonts w:ascii="Times New Roman" w:hAnsi="Times New Roman" w:cs="Times New Roman"/>
          <w:b/>
          <w:sz w:val="24"/>
          <w:szCs w:val="24"/>
        </w:rPr>
      </w:pPr>
      <w:r w:rsidRPr="00A33A28">
        <w:rPr>
          <w:rFonts w:ascii="Times New Roman" w:hAnsi="Times New Roman" w:cs="Times New Roman"/>
          <w:b/>
          <w:sz w:val="24"/>
          <w:szCs w:val="24"/>
        </w:rPr>
        <w:t xml:space="preserve">Zodpovední: </w:t>
      </w:r>
      <w:r w:rsidRPr="00A33A28">
        <w:rPr>
          <w:rFonts w:ascii="Times New Roman" w:hAnsi="Times New Roman" w:cs="Times New Roman"/>
          <w:b/>
          <w:sz w:val="24"/>
          <w:szCs w:val="24"/>
        </w:rPr>
        <w:tab/>
      </w:r>
      <w:r w:rsidRPr="00A33A28">
        <w:rPr>
          <w:rFonts w:ascii="Times New Roman" w:hAnsi="Times New Roman" w:cs="Times New Roman"/>
          <w:sz w:val="24"/>
          <w:szCs w:val="24"/>
        </w:rPr>
        <w:t>Ministerstvo vnútra SR, Ministerstvo hospodárstva SR</w:t>
      </w:r>
    </w:p>
    <w:p w14:paraId="683250B7" w14:textId="77777777" w:rsidR="00070D19" w:rsidRPr="00A33A28" w:rsidRDefault="00070D19" w:rsidP="00070D19">
      <w:pPr>
        <w:spacing w:after="0" w:line="240" w:lineRule="auto"/>
        <w:ind w:left="1985" w:hanging="1985"/>
        <w:jc w:val="both"/>
        <w:rPr>
          <w:rFonts w:ascii="Times New Roman" w:hAnsi="Times New Roman" w:cs="Times New Roman"/>
          <w:b/>
          <w:sz w:val="24"/>
          <w:szCs w:val="24"/>
        </w:rPr>
      </w:pPr>
      <w:r w:rsidRPr="00A33A28">
        <w:rPr>
          <w:rFonts w:ascii="Times New Roman" w:hAnsi="Times New Roman" w:cs="Times New Roman"/>
          <w:b/>
          <w:sz w:val="24"/>
          <w:szCs w:val="24"/>
        </w:rPr>
        <w:t>Plnenie k 12/2017:</w:t>
      </w:r>
      <w:r w:rsidRPr="00A33A28">
        <w:rPr>
          <w:rFonts w:ascii="Times New Roman" w:hAnsi="Times New Roman" w:cs="Times New Roman"/>
          <w:b/>
          <w:sz w:val="24"/>
          <w:szCs w:val="24"/>
        </w:rPr>
        <w:tab/>
        <w:t>Splnené</w:t>
      </w:r>
    </w:p>
    <w:p w14:paraId="6D4F6BE5" w14:textId="77777777" w:rsidR="00070D19" w:rsidRPr="00A33A28" w:rsidRDefault="00070D19" w:rsidP="00070D19">
      <w:pPr>
        <w:spacing w:after="0" w:line="240" w:lineRule="auto"/>
        <w:ind w:left="1985"/>
        <w:jc w:val="both"/>
        <w:rPr>
          <w:rFonts w:ascii="Times New Roman" w:hAnsi="Times New Roman" w:cs="Times New Roman"/>
          <w:sz w:val="24"/>
          <w:szCs w:val="24"/>
        </w:rPr>
      </w:pPr>
      <w:r w:rsidRPr="00A33A28">
        <w:rPr>
          <w:rFonts w:ascii="Times New Roman" w:hAnsi="Times New Roman" w:cs="Times New Roman"/>
          <w:sz w:val="24"/>
          <w:szCs w:val="24"/>
        </w:rPr>
        <w:t xml:space="preserve">MVSR v rámci zlepšenia poskytovania </w:t>
      </w:r>
      <w:proofErr w:type="spellStart"/>
      <w:r w:rsidRPr="00A33A28">
        <w:rPr>
          <w:rFonts w:ascii="Times New Roman" w:hAnsi="Times New Roman" w:cs="Times New Roman"/>
          <w:sz w:val="24"/>
          <w:szCs w:val="24"/>
        </w:rPr>
        <w:t>proklientsky</w:t>
      </w:r>
      <w:proofErr w:type="spellEnd"/>
      <w:r w:rsidRPr="00A33A28">
        <w:rPr>
          <w:rFonts w:ascii="Times New Roman" w:hAnsi="Times New Roman" w:cs="Times New Roman"/>
          <w:sz w:val="24"/>
          <w:szCs w:val="24"/>
        </w:rPr>
        <w:t xml:space="preserve"> orientovaných služieb cez sieť klientskych centier, ktorého sú JKM súčasťou, informuje klientov </w:t>
      </w:r>
      <w:r w:rsidRPr="00A33A28">
        <w:rPr>
          <w:rFonts w:ascii="Times New Roman" w:hAnsi="Times New Roman" w:cs="Times New Roman"/>
          <w:sz w:val="24"/>
          <w:szCs w:val="24"/>
        </w:rPr>
        <w:br/>
        <w:t xml:space="preserve">o službách jednotlivých odborov, teda aj službách, ktoré poskytujú JKM. </w:t>
      </w:r>
      <w:r w:rsidRPr="00A33A28">
        <w:rPr>
          <w:rFonts w:ascii="Times New Roman" w:hAnsi="Times New Roman" w:cs="Times New Roman"/>
          <w:sz w:val="24"/>
          <w:szCs w:val="24"/>
        </w:rPr>
        <w:br/>
        <w:t xml:space="preserve">Od 1. decembra 2017 boli na všetky úrady, ktoré poskytujú služby JKM, zaslané informácie s cieľom zvýšiť informovanosť podnikateľov </w:t>
      </w:r>
      <w:r w:rsidRPr="00A33A28">
        <w:rPr>
          <w:rFonts w:ascii="Times New Roman" w:hAnsi="Times New Roman" w:cs="Times New Roman"/>
          <w:sz w:val="24"/>
          <w:szCs w:val="24"/>
        </w:rPr>
        <w:br/>
        <w:t xml:space="preserve">o dostupných službách verejnej správy na Jednotnom kontaktnom mieste </w:t>
      </w:r>
      <w:r w:rsidRPr="00A33A28">
        <w:rPr>
          <w:rFonts w:ascii="Times New Roman" w:hAnsi="Times New Roman" w:cs="Times New Roman"/>
          <w:sz w:val="24"/>
          <w:szCs w:val="24"/>
        </w:rPr>
        <w:br/>
        <w:t xml:space="preserve">v nadväznosti na reformu verejnej správy ESO so zameraním na malé a stredné podniky. </w:t>
      </w:r>
    </w:p>
    <w:p w14:paraId="1AEB3438" w14:textId="77777777" w:rsidR="00070D19" w:rsidRPr="00A33A28" w:rsidRDefault="00070D19" w:rsidP="00070D19">
      <w:pPr>
        <w:spacing w:after="0" w:line="240" w:lineRule="auto"/>
        <w:jc w:val="both"/>
        <w:rPr>
          <w:rFonts w:ascii="Times New Roman" w:hAnsi="Times New Roman" w:cs="Times New Roman"/>
          <w:color w:val="000000"/>
          <w:sz w:val="24"/>
          <w:szCs w:val="24"/>
        </w:rPr>
      </w:pPr>
    </w:p>
    <w:p w14:paraId="4C3EFDEB" w14:textId="77777777" w:rsidR="00070D19" w:rsidRPr="00A33A28" w:rsidRDefault="00070D19" w:rsidP="00070D19">
      <w:pPr>
        <w:spacing w:after="0" w:line="240" w:lineRule="auto"/>
        <w:ind w:left="1985" w:hanging="1985"/>
        <w:jc w:val="both"/>
        <w:rPr>
          <w:rFonts w:ascii="Times New Roman" w:hAnsi="Times New Roman" w:cs="Times New Roman"/>
          <w:b/>
          <w:sz w:val="24"/>
          <w:szCs w:val="24"/>
          <w:u w:val="single"/>
        </w:rPr>
      </w:pPr>
      <w:r w:rsidRPr="00A33A28">
        <w:rPr>
          <w:rFonts w:ascii="Times New Roman" w:hAnsi="Times New Roman" w:cs="Times New Roman"/>
          <w:b/>
          <w:sz w:val="24"/>
          <w:szCs w:val="24"/>
          <w:u w:val="single"/>
        </w:rPr>
        <w:t>Opatrenie č. 21</w:t>
      </w:r>
    </w:p>
    <w:p w14:paraId="279FF557" w14:textId="77777777" w:rsidR="00070D19" w:rsidRPr="00A33A28" w:rsidRDefault="00070D19" w:rsidP="00070D19">
      <w:pPr>
        <w:spacing w:after="0" w:line="240" w:lineRule="auto"/>
        <w:jc w:val="both"/>
        <w:rPr>
          <w:rFonts w:ascii="Times New Roman" w:hAnsi="Times New Roman" w:cs="Times New Roman"/>
          <w:b/>
          <w:sz w:val="24"/>
          <w:szCs w:val="24"/>
        </w:rPr>
      </w:pPr>
      <w:r w:rsidRPr="00A33A28">
        <w:rPr>
          <w:rFonts w:ascii="Times New Roman" w:hAnsi="Times New Roman" w:cs="Times New Roman"/>
          <w:b/>
          <w:sz w:val="24"/>
          <w:szCs w:val="24"/>
        </w:rPr>
        <w:t>Prehodnotiť administratívne prekážky tvorby a posilňovania vlastných zdrojov v kapitálových obchodných spoločnostiach.</w:t>
      </w:r>
    </w:p>
    <w:p w14:paraId="3E93E3B2" w14:textId="77777777" w:rsidR="00070D19" w:rsidRPr="00A33A28" w:rsidRDefault="00070D19" w:rsidP="00070D19">
      <w:pPr>
        <w:spacing w:after="0" w:line="240" w:lineRule="auto"/>
        <w:ind w:left="1985" w:hanging="1985"/>
        <w:jc w:val="both"/>
        <w:rPr>
          <w:rFonts w:ascii="Times New Roman" w:hAnsi="Times New Roman" w:cs="Times New Roman"/>
          <w:b/>
          <w:sz w:val="24"/>
          <w:szCs w:val="24"/>
        </w:rPr>
      </w:pPr>
      <w:r w:rsidRPr="00A33A28">
        <w:rPr>
          <w:rFonts w:ascii="Times New Roman" w:hAnsi="Times New Roman" w:cs="Times New Roman"/>
          <w:b/>
          <w:sz w:val="24"/>
          <w:szCs w:val="24"/>
        </w:rPr>
        <w:t xml:space="preserve">Zodpovední: </w:t>
      </w:r>
      <w:r w:rsidRPr="00A33A28">
        <w:rPr>
          <w:rFonts w:ascii="Times New Roman" w:hAnsi="Times New Roman" w:cs="Times New Roman"/>
          <w:b/>
          <w:sz w:val="24"/>
          <w:szCs w:val="24"/>
        </w:rPr>
        <w:tab/>
      </w:r>
      <w:r w:rsidRPr="00A33A28">
        <w:rPr>
          <w:rFonts w:ascii="Times New Roman" w:hAnsi="Times New Roman" w:cs="Times New Roman"/>
          <w:sz w:val="24"/>
          <w:szCs w:val="24"/>
        </w:rPr>
        <w:t>Ministerstvo spravodlivosti SR, Ministerstvo financií SR</w:t>
      </w:r>
    </w:p>
    <w:p w14:paraId="4A92FC61" w14:textId="77777777" w:rsidR="00070D19" w:rsidRPr="00A33A28" w:rsidRDefault="00070D19" w:rsidP="00070D19">
      <w:pPr>
        <w:spacing w:after="0" w:line="240" w:lineRule="auto"/>
        <w:ind w:left="1985" w:hanging="1985"/>
        <w:jc w:val="both"/>
        <w:rPr>
          <w:rFonts w:ascii="Times New Roman" w:hAnsi="Times New Roman" w:cs="Times New Roman"/>
          <w:sz w:val="24"/>
          <w:szCs w:val="24"/>
        </w:rPr>
      </w:pPr>
      <w:r w:rsidRPr="00A33A28">
        <w:rPr>
          <w:rFonts w:ascii="Times New Roman" w:hAnsi="Times New Roman" w:cs="Times New Roman"/>
          <w:b/>
          <w:sz w:val="24"/>
          <w:szCs w:val="24"/>
        </w:rPr>
        <w:t>Plnenie k 12/2017:</w:t>
      </w:r>
      <w:r w:rsidRPr="00A33A28">
        <w:rPr>
          <w:rFonts w:ascii="Times New Roman" w:hAnsi="Times New Roman" w:cs="Times New Roman"/>
          <w:sz w:val="24"/>
          <w:szCs w:val="24"/>
        </w:rPr>
        <w:tab/>
      </w:r>
      <w:r w:rsidRPr="00A33A28">
        <w:rPr>
          <w:rFonts w:ascii="Times New Roman" w:hAnsi="Times New Roman" w:cs="Times New Roman"/>
          <w:b/>
          <w:sz w:val="24"/>
          <w:szCs w:val="24"/>
        </w:rPr>
        <w:t>Splnené</w:t>
      </w:r>
    </w:p>
    <w:p w14:paraId="03E8F17B" w14:textId="77777777" w:rsidR="00070D19" w:rsidRPr="00A33A28" w:rsidRDefault="00070D19" w:rsidP="00070D19">
      <w:pPr>
        <w:spacing w:after="0" w:line="240" w:lineRule="auto"/>
        <w:ind w:left="1985" w:hanging="1985"/>
        <w:jc w:val="both"/>
        <w:rPr>
          <w:rFonts w:ascii="Times New Roman" w:hAnsi="Times New Roman" w:cs="Times New Roman"/>
          <w:sz w:val="24"/>
          <w:szCs w:val="24"/>
        </w:rPr>
      </w:pPr>
      <w:r w:rsidRPr="00A33A28">
        <w:rPr>
          <w:rFonts w:ascii="Times New Roman" w:hAnsi="Times New Roman" w:cs="Times New Roman"/>
          <w:b/>
          <w:sz w:val="24"/>
          <w:szCs w:val="24"/>
        </w:rPr>
        <w:tab/>
      </w:r>
      <w:r w:rsidRPr="00A33A28">
        <w:rPr>
          <w:rFonts w:ascii="Times New Roman" w:hAnsi="Times New Roman" w:cs="Times New Roman"/>
          <w:sz w:val="24"/>
          <w:szCs w:val="24"/>
        </w:rPr>
        <w:t xml:space="preserve">Úloha bol splnená prijatím zákona č. 264/ 2017 Z. z., ktorým sa mení a dopĺňa zákon č. 513/1991 Zb. Obchodný zákonník v znení neskorších predpisov a ktorým sa menia a dopĺňajú niektoré zákony. Zákon nadobudol účinnosť 1. januára 2018, konkrétne doplnením § 217a. </w:t>
      </w:r>
    </w:p>
    <w:p w14:paraId="1A849FCD" w14:textId="77777777" w:rsidR="00070D19" w:rsidRPr="00A33A28" w:rsidRDefault="00070D19" w:rsidP="00070D19">
      <w:pPr>
        <w:spacing w:after="0" w:line="240" w:lineRule="auto"/>
        <w:ind w:left="1985" w:hanging="1985"/>
        <w:jc w:val="both"/>
        <w:rPr>
          <w:rFonts w:ascii="Times New Roman" w:hAnsi="Times New Roman" w:cs="Times New Roman"/>
          <w:sz w:val="24"/>
          <w:szCs w:val="24"/>
        </w:rPr>
      </w:pPr>
    </w:p>
    <w:p w14:paraId="6CF34413" w14:textId="77777777" w:rsidR="00070D19" w:rsidRPr="00A33A28" w:rsidRDefault="00070D19" w:rsidP="00070D19">
      <w:pPr>
        <w:spacing w:after="0" w:line="240" w:lineRule="auto"/>
        <w:jc w:val="both"/>
        <w:rPr>
          <w:rFonts w:ascii="Times New Roman" w:hAnsi="Times New Roman" w:cs="Times New Roman"/>
          <w:b/>
          <w:sz w:val="24"/>
          <w:szCs w:val="24"/>
          <w:u w:val="single"/>
        </w:rPr>
      </w:pPr>
      <w:r w:rsidRPr="00A33A28">
        <w:rPr>
          <w:rFonts w:ascii="Times New Roman" w:hAnsi="Times New Roman" w:cs="Times New Roman"/>
          <w:b/>
          <w:sz w:val="24"/>
          <w:szCs w:val="24"/>
          <w:u w:val="single"/>
        </w:rPr>
        <w:t>Opatrenie č. 29</w:t>
      </w:r>
    </w:p>
    <w:p w14:paraId="4B878D7B" w14:textId="77777777" w:rsidR="00070D19" w:rsidRPr="00A33A28" w:rsidRDefault="00070D19" w:rsidP="00070D19">
      <w:pPr>
        <w:spacing w:after="0" w:line="240" w:lineRule="auto"/>
        <w:jc w:val="both"/>
        <w:rPr>
          <w:rFonts w:ascii="Times New Roman" w:hAnsi="Times New Roman" w:cs="Times New Roman"/>
          <w:b/>
          <w:iCs/>
          <w:sz w:val="24"/>
          <w:szCs w:val="24"/>
        </w:rPr>
      </w:pPr>
      <w:r w:rsidRPr="00A33A28">
        <w:rPr>
          <w:rFonts w:ascii="Times New Roman" w:hAnsi="Times New Roman" w:cs="Times New Roman"/>
          <w:b/>
          <w:iCs/>
          <w:sz w:val="24"/>
          <w:szCs w:val="24"/>
        </w:rPr>
        <w:t xml:space="preserve">Zvýšiť </w:t>
      </w:r>
      <w:proofErr w:type="spellStart"/>
      <w:r w:rsidRPr="00A33A28">
        <w:rPr>
          <w:rFonts w:ascii="Times New Roman" w:hAnsi="Times New Roman" w:cs="Times New Roman"/>
          <w:b/>
          <w:iCs/>
          <w:sz w:val="24"/>
          <w:szCs w:val="24"/>
        </w:rPr>
        <w:t>superodpočet</w:t>
      </w:r>
      <w:proofErr w:type="spellEnd"/>
      <w:r w:rsidRPr="00A33A28">
        <w:rPr>
          <w:rFonts w:ascii="Times New Roman" w:hAnsi="Times New Roman" w:cs="Times New Roman"/>
          <w:b/>
          <w:iCs/>
          <w:sz w:val="24"/>
          <w:szCs w:val="24"/>
        </w:rPr>
        <w:t xml:space="preserve"> výdavkov na výskum a vývoj na úroveň 100 %.</w:t>
      </w:r>
      <w:r w:rsidRPr="00A33A28">
        <w:rPr>
          <w:rFonts w:ascii="Times New Roman" w:hAnsi="Times New Roman" w:cs="Times New Roman"/>
          <w:iCs/>
          <w:sz w:val="24"/>
          <w:szCs w:val="24"/>
        </w:rPr>
        <w:t xml:space="preserve"> </w:t>
      </w:r>
    </w:p>
    <w:p w14:paraId="2A4B75D6" w14:textId="77777777" w:rsidR="00070D19" w:rsidRPr="00A33A28" w:rsidRDefault="00070D19" w:rsidP="00070D19">
      <w:pPr>
        <w:spacing w:after="0" w:line="240" w:lineRule="auto"/>
        <w:ind w:left="1985" w:hanging="1985"/>
        <w:jc w:val="both"/>
        <w:rPr>
          <w:rFonts w:ascii="Times New Roman" w:hAnsi="Times New Roman" w:cs="Times New Roman"/>
          <w:sz w:val="24"/>
          <w:szCs w:val="24"/>
        </w:rPr>
      </w:pPr>
      <w:r w:rsidRPr="00A33A28">
        <w:rPr>
          <w:rFonts w:ascii="Times New Roman" w:hAnsi="Times New Roman" w:cs="Times New Roman"/>
          <w:b/>
          <w:sz w:val="24"/>
          <w:szCs w:val="24"/>
        </w:rPr>
        <w:t xml:space="preserve">Zodpovední: </w:t>
      </w:r>
      <w:r w:rsidRPr="00A33A28">
        <w:rPr>
          <w:rFonts w:ascii="Times New Roman" w:hAnsi="Times New Roman" w:cs="Times New Roman"/>
          <w:b/>
          <w:sz w:val="24"/>
          <w:szCs w:val="24"/>
        </w:rPr>
        <w:tab/>
      </w:r>
      <w:r w:rsidRPr="00A33A28">
        <w:rPr>
          <w:rFonts w:ascii="Times New Roman" w:hAnsi="Times New Roman" w:cs="Times New Roman"/>
          <w:sz w:val="24"/>
          <w:szCs w:val="24"/>
        </w:rPr>
        <w:t>Ministerstvo financií SR, Ministerstvo školstva, vedy, výskumu a športu SR</w:t>
      </w:r>
    </w:p>
    <w:p w14:paraId="2BF45787" w14:textId="77777777" w:rsidR="00070D19" w:rsidRPr="00A33A28" w:rsidRDefault="00070D19" w:rsidP="00070D19">
      <w:pPr>
        <w:spacing w:after="0" w:line="240" w:lineRule="auto"/>
        <w:ind w:left="1985" w:hanging="1985"/>
        <w:jc w:val="both"/>
        <w:rPr>
          <w:rFonts w:ascii="Times New Roman" w:hAnsi="Times New Roman" w:cs="Times New Roman"/>
          <w:sz w:val="24"/>
          <w:szCs w:val="24"/>
        </w:rPr>
      </w:pPr>
      <w:r w:rsidRPr="00A33A28">
        <w:rPr>
          <w:rFonts w:ascii="Times New Roman" w:hAnsi="Times New Roman" w:cs="Times New Roman"/>
          <w:b/>
          <w:sz w:val="24"/>
          <w:szCs w:val="24"/>
        </w:rPr>
        <w:t>Plnenie k 12/2017:</w:t>
      </w:r>
      <w:r w:rsidRPr="00A33A28">
        <w:rPr>
          <w:rFonts w:ascii="Times New Roman" w:hAnsi="Times New Roman" w:cs="Times New Roman"/>
          <w:sz w:val="24"/>
          <w:szCs w:val="24"/>
        </w:rPr>
        <w:tab/>
      </w:r>
      <w:r w:rsidRPr="00A33A28">
        <w:rPr>
          <w:rFonts w:ascii="Times New Roman" w:hAnsi="Times New Roman" w:cs="Times New Roman"/>
          <w:b/>
          <w:sz w:val="24"/>
          <w:szCs w:val="24"/>
        </w:rPr>
        <w:t>Splnené</w:t>
      </w:r>
    </w:p>
    <w:p w14:paraId="57CEA624" w14:textId="77777777" w:rsidR="00070D19" w:rsidRPr="00A33A28" w:rsidRDefault="00070D19" w:rsidP="00070D19">
      <w:pPr>
        <w:spacing w:after="0" w:line="240" w:lineRule="auto"/>
        <w:ind w:left="1985"/>
        <w:jc w:val="both"/>
        <w:rPr>
          <w:rFonts w:ascii="Times New Roman" w:hAnsi="Times New Roman" w:cs="Times New Roman"/>
          <w:sz w:val="24"/>
          <w:szCs w:val="24"/>
        </w:rPr>
      </w:pPr>
      <w:r w:rsidRPr="00A33A28">
        <w:rPr>
          <w:rFonts w:ascii="Times New Roman" w:hAnsi="Times New Roman" w:cs="Times New Roman"/>
          <w:sz w:val="24"/>
          <w:szCs w:val="24"/>
        </w:rPr>
        <w:t xml:space="preserve">Úloha bol splnená novelizáciou zákona č. 595/2003 Z. z. o dani z príjmov v znení neskorších predpisov, ktorú schválil parlament 7. decembra 2017. Touto novelizáciou dochádza k zvýšeniu percentuálnej sadzby </w:t>
      </w:r>
      <w:proofErr w:type="spellStart"/>
      <w:r w:rsidRPr="00A33A28">
        <w:rPr>
          <w:rFonts w:ascii="Times New Roman" w:hAnsi="Times New Roman" w:cs="Times New Roman"/>
          <w:sz w:val="24"/>
          <w:szCs w:val="24"/>
        </w:rPr>
        <w:t>superodpočtu</w:t>
      </w:r>
      <w:proofErr w:type="spellEnd"/>
      <w:r w:rsidRPr="00A33A28">
        <w:rPr>
          <w:rFonts w:ascii="Times New Roman" w:hAnsi="Times New Roman" w:cs="Times New Roman"/>
          <w:sz w:val="24"/>
          <w:szCs w:val="24"/>
        </w:rPr>
        <w:t xml:space="preserve"> výdavkov na výskum a vývoj v bežnom zdaňovacom období. Za každý zrealizovaný projekt výskumu a vývoja bude možné odpočítať 100 % výdavkov. </w:t>
      </w:r>
    </w:p>
    <w:p w14:paraId="2DC89396" w14:textId="77777777" w:rsidR="00070D19" w:rsidRPr="00A33A28" w:rsidRDefault="00070D19" w:rsidP="00070D19">
      <w:pPr>
        <w:spacing w:after="0" w:line="240" w:lineRule="auto"/>
        <w:jc w:val="both"/>
        <w:rPr>
          <w:rFonts w:ascii="Times New Roman" w:hAnsi="Times New Roman" w:cs="Times New Roman"/>
          <w:b/>
          <w:sz w:val="24"/>
          <w:szCs w:val="24"/>
          <w:u w:val="single"/>
        </w:rPr>
      </w:pPr>
      <w:r w:rsidRPr="00A33A28">
        <w:rPr>
          <w:rFonts w:ascii="Times New Roman" w:hAnsi="Times New Roman" w:cs="Times New Roman"/>
          <w:b/>
          <w:sz w:val="24"/>
          <w:szCs w:val="24"/>
          <w:u w:val="single"/>
        </w:rPr>
        <w:t>Opatrenie č. 33</w:t>
      </w:r>
    </w:p>
    <w:p w14:paraId="02D2B989" w14:textId="77777777" w:rsidR="00070D19" w:rsidRPr="00A33A28" w:rsidRDefault="00070D19" w:rsidP="00070D19">
      <w:pPr>
        <w:spacing w:after="0" w:line="240" w:lineRule="auto"/>
        <w:jc w:val="both"/>
        <w:rPr>
          <w:rFonts w:ascii="Times New Roman" w:hAnsi="Times New Roman" w:cs="Times New Roman"/>
          <w:b/>
          <w:sz w:val="24"/>
          <w:szCs w:val="24"/>
        </w:rPr>
      </w:pPr>
      <w:r w:rsidRPr="00A33A28">
        <w:rPr>
          <w:rFonts w:ascii="Times New Roman" w:hAnsi="Times New Roman" w:cs="Times New Roman"/>
          <w:b/>
          <w:iCs/>
          <w:sz w:val="24"/>
          <w:szCs w:val="24"/>
        </w:rPr>
        <w:t>Vypracovať nový zákon o investičnej pomoci.</w:t>
      </w:r>
    </w:p>
    <w:p w14:paraId="692480A7" w14:textId="77777777" w:rsidR="00070D19" w:rsidRPr="00A33A28" w:rsidRDefault="00070D19" w:rsidP="00070D19">
      <w:pPr>
        <w:spacing w:after="0" w:line="240" w:lineRule="auto"/>
        <w:ind w:left="1985" w:hanging="1985"/>
        <w:jc w:val="both"/>
        <w:rPr>
          <w:rFonts w:ascii="Times New Roman" w:hAnsi="Times New Roman" w:cs="Times New Roman"/>
          <w:sz w:val="24"/>
          <w:szCs w:val="24"/>
        </w:rPr>
      </w:pPr>
      <w:r w:rsidRPr="00A33A28">
        <w:rPr>
          <w:rFonts w:ascii="Times New Roman" w:hAnsi="Times New Roman" w:cs="Times New Roman"/>
          <w:b/>
          <w:sz w:val="24"/>
          <w:szCs w:val="24"/>
        </w:rPr>
        <w:t xml:space="preserve">Zodpovedný: </w:t>
      </w:r>
      <w:r w:rsidRPr="00A33A28">
        <w:rPr>
          <w:rFonts w:ascii="Times New Roman" w:hAnsi="Times New Roman" w:cs="Times New Roman"/>
          <w:b/>
          <w:sz w:val="24"/>
          <w:szCs w:val="24"/>
        </w:rPr>
        <w:tab/>
      </w:r>
      <w:r w:rsidRPr="00A33A28">
        <w:rPr>
          <w:rFonts w:ascii="Times New Roman" w:hAnsi="Times New Roman" w:cs="Times New Roman"/>
          <w:sz w:val="24"/>
          <w:szCs w:val="24"/>
        </w:rPr>
        <w:t>Ministerstvo hospodárstva SR</w:t>
      </w:r>
    </w:p>
    <w:p w14:paraId="3868763D" w14:textId="77777777" w:rsidR="00070D19" w:rsidRPr="00A33A28" w:rsidRDefault="00070D19" w:rsidP="00070D19">
      <w:pPr>
        <w:tabs>
          <w:tab w:val="left" w:pos="708"/>
          <w:tab w:val="left" w:pos="1416"/>
          <w:tab w:val="left" w:pos="2124"/>
          <w:tab w:val="left" w:pos="2832"/>
          <w:tab w:val="right" w:pos="9356"/>
        </w:tabs>
        <w:spacing w:after="0" w:line="240" w:lineRule="auto"/>
        <w:ind w:left="1985" w:hanging="1985"/>
        <w:jc w:val="both"/>
        <w:rPr>
          <w:rFonts w:ascii="Times New Roman" w:hAnsi="Times New Roman" w:cs="Times New Roman"/>
          <w:sz w:val="24"/>
          <w:szCs w:val="24"/>
        </w:rPr>
      </w:pPr>
      <w:r w:rsidRPr="00A33A28">
        <w:rPr>
          <w:rFonts w:ascii="Times New Roman" w:hAnsi="Times New Roman" w:cs="Times New Roman"/>
          <w:b/>
          <w:sz w:val="24"/>
          <w:szCs w:val="24"/>
        </w:rPr>
        <w:t>Plnenie k 12/2017:</w:t>
      </w:r>
      <w:r w:rsidRPr="00A33A28">
        <w:rPr>
          <w:rFonts w:ascii="Times New Roman" w:hAnsi="Times New Roman" w:cs="Times New Roman"/>
          <w:sz w:val="24"/>
          <w:szCs w:val="24"/>
        </w:rPr>
        <w:tab/>
      </w:r>
      <w:r w:rsidRPr="00A33A28">
        <w:rPr>
          <w:rFonts w:ascii="Times New Roman" w:hAnsi="Times New Roman" w:cs="Times New Roman"/>
          <w:b/>
          <w:sz w:val="24"/>
          <w:szCs w:val="24"/>
        </w:rPr>
        <w:t>Splnené</w:t>
      </w:r>
      <w:r w:rsidRPr="00A33A28">
        <w:rPr>
          <w:rFonts w:ascii="Times New Roman" w:hAnsi="Times New Roman" w:cs="Times New Roman"/>
          <w:b/>
          <w:sz w:val="24"/>
          <w:szCs w:val="24"/>
        </w:rPr>
        <w:tab/>
      </w:r>
      <w:r w:rsidRPr="00A33A28">
        <w:rPr>
          <w:rFonts w:ascii="Times New Roman" w:hAnsi="Times New Roman" w:cs="Times New Roman"/>
          <w:b/>
          <w:sz w:val="24"/>
          <w:szCs w:val="24"/>
        </w:rPr>
        <w:tab/>
      </w:r>
    </w:p>
    <w:p w14:paraId="1A8CDE66" w14:textId="77777777" w:rsidR="00070D19" w:rsidRPr="00A33A28" w:rsidRDefault="00070D19" w:rsidP="00070D19">
      <w:pPr>
        <w:spacing w:after="0" w:line="240" w:lineRule="auto"/>
        <w:ind w:left="1985"/>
        <w:jc w:val="both"/>
        <w:rPr>
          <w:rFonts w:ascii="Times New Roman" w:hAnsi="Times New Roman" w:cs="Times New Roman"/>
          <w:b/>
          <w:iCs/>
          <w:sz w:val="24"/>
          <w:szCs w:val="24"/>
        </w:rPr>
      </w:pPr>
      <w:r w:rsidRPr="00A33A28">
        <w:rPr>
          <w:rFonts w:ascii="Times New Roman" w:hAnsi="Times New Roman" w:cs="Times New Roman"/>
          <w:sz w:val="24"/>
          <w:szCs w:val="24"/>
        </w:rPr>
        <w:t xml:space="preserve">Ministerstvo hospodárstva SR listom ministra z 2. novembra 2017 predložilo na Úrad vlády SR dňa 3. novembra 2017 „Návrh zákona </w:t>
      </w:r>
      <w:r w:rsidRPr="00A33A28">
        <w:rPr>
          <w:rFonts w:ascii="Times New Roman" w:hAnsi="Times New Roman" w:cs="Times New Roman"/>
          <w:sz w:val="24"/>
          <w:szCs w:val="24"/>
        </w:rPr>
        <w:lastRenderedPageBreak/>
        <w:t>o regionálnej investičnej pomoci a o zmene a doplnení niektorých zákonov“ so žiadosťou o jeho zaradenie na rokovanie vlády SR. Vláda SR návrh zákona svojím uznesením č. 505 z 8. novembra 2017 schválila.</w:t>
      </w:r>
    </w:p>
    <w:p w14:paraId="293CB989" w14:textId="77777777" w:rsidR="00070D19" w:rsidRPr="00A33A28" w:rsidRDefault="00070D19" w:rsidP="00070D19">
      <w:pPr>
        <w:spacing w:after="0" w:line="240" w:lineRule="auto"/>
        <w:jc w:val="both"/>
        <w:rPr>
          <w:rFonts w:ascii="Times New Roman" w:hAnsi="Times New Roman" w:cs="Times New Roman"/>
          <w:b/>
          <w:iCs/>
          <w:sz w:val="24"/>
          <w:szCs w:val="24"/>
          <w:u w:val="single"/>
        </w:rPr>
      </w:pPr>
    </w:p>
    <w:p w14:paraId="19A68561" w14:textId="77777777" w:rsidR="00070D19" w:rsidRPr="00A33A28" w:rsidRDefault="00070D19" w:rsidP="00070D19">
      <w:pPr>
        <w:spacing w:after="0" w:line="240" w:lineRule="auto"/>
        <w:jc w:val="both"/>
        <w:rPr>
          <w:rFonts w:ascii="Times New Roman" w:hAnsi="Times New Roman" w:cs="Times New Roman"/>
          <w:b/>
          <w:iCs/>
          <w:sz w:val="24"/>
          <w:szCs w:val="24"/>
          <w:u w:val="single"/>
        </w:rPr>
      </w:pPr>
      <w:r w:rsidRPr="00A33A28">
        <w:rPr>
          <w:rFonts w:ascii="Times New Roman" w:hAnsi="Times New Roman" w:cs="Times New Roman"/>
          <w:b/>
          <w:iCs/>
          <w:sz w:val="24"/>
          <w:szCs w:val="24"/>
          <w:u w:val="single"/>
        </w:rPr>
        <w:t>Opatrenie č. 34</w:t>
      </w:r>
    </w:p>
    <w:p w14:paraId="24578E17" w14:textId="77777777" w:rsidR="00070D19" w:rsidRPr="00A33A28" w:rsidRDefault="00070D19" w:rsidP="00070D19">
      <w:pPr>
        <w:spacing w:after="0" w:line="240" w:lineRule="auto"/>
        <w:jc w:val="both"/>
        <w:rPr>
          <w:rFonts w:ascii="Times New Roman" w:hAnsi="Times New Roman" w:cs="Times New Roman"/>
          <w:b/>
          <w:iCs/>
          <w:sz w:val="24"/>
          <w:szCs w:val="24"/>
        </w:rPr>
      </w:pPr>
      <w:r w:rsidRPr="00A33A28">
        <w:rPr>
          <w:rFonts w:ascii="Times New Roman" w:hAnsi="Times New Roman" w:cs="Times New Roman"/>
          <w:b/>
          <w:iCs/>
          <w:sz w:val="24"/>
          <w:szCs w:val="24"/>
        </w:rPr>
        <w:t>Vypracovať prierezové dokumenty mapujúce súčasný a budúci vývoj v oblastiach hospodárskej špecializácie podľa dokumentu Poznatkami k prosperite: Stratégia inteligentnej špecializácie RIS3.</w:t>
      </w:r>
    </w:p>
    <w:p w14:paraId="4DF2D681" w14:textId="77777777" w:rsidR="00070D19" w:rsidRPr="00A33A28" w:rsidRDefault="00070D19" w:rsidP="00070D19">
      <w:pPr>
        <w:spacing w:after="0" w:line="240" w:lineRule="auto"/>
        <w:ind w:left="1985" w:hanging="1985"/>
        <w:jc w:val="both"/>
        <w:rPr>
          <w:rFonts w:ascii="Times New Roman" w:hAnsi="Times New Roman" w:cs="Times New Roman"/>
          <w:sz w:val="24"/>
          <w:szCs w:val="24"/>
        </w:rPr>
      </w:pPr>
      <w:r w:rsidRPr="00A33A28">
        <w:rPr>
          <w:rFonts w:ascii="Times New Roman" w:hAnsi="Times New Roman" w:cs="Times New Roman"/>
          <w:b/>
          <w:sz w:val="24"/>
          <w:szCs w:val="24"/>
        </w:rPr>
        <w:t xml:space="preserve">Zodpovedný: </w:t>
      </w:r>
      <w:r w:rsidRPr="00A33A28">
        <w:rPr>
          <w:rFonts w:ascii="Times New Roman" w:hAnsi="Times New Roman" w:cs="Times New Roman"/>
          <w:b/>
          <w:sz w:val="24"/>
          <w:szCs w:val="24"/>
        </w:rPr>
        <w:tab/>
      </w:r>
      <w:r w:rsidRPr="00A33A28">
        <w:rPr>
          <w:rFonts w:ascii="Times New Roman" w:hAnsi="Times New Roman" w:cs="Times New Roman"/>
          <w:sz w:val="24"/>
          <w:szCs w:val="24"/>
        </w:rPr>
        <w:t>Ministerstvo hospodárstva SR</w:t>
      </w:r>
    </w:p>
    <w:p w14:paraId="781BFE02" w14:textId="77777777" w:rsidR="00070D19" w:rsidRPr="00A33A28" w:rsidRDefault="00070D19" w:rsidP="00070D19">
      <w:pPr>
        <w:spacing w:after="0" w:line="240" w:lineRule="auto"/>
        <w:ind w:left="1985" w:hanging="1985"/>
        <w:jc w:val="both"/>
        <w:rPr>
          <w:rFonts w:ascii="Times New Roman" w:hAnsi="Times New Roman" w:cs="Times New Roman"/>
          <w:b/>
          <w:sz w:val="24"/>
          <w:szCs w:val="24"/>
        </w:rPr>
      </w:pPr>
      <w:r w:rsidRPr="00A33A28">
        <w:rPr>
          <w:rFonts w:ascii="Times New Roman" w:hAnsi="Times New Roman" w:cs="Times New Roman"/>
          <w:b/>
          <w:sz w:val="24"/>
          <w:szCs w:val="24"/>
        </w:rPr>
        <w:t>Plnenie k 12/2017:</w:t>
      </w:r>
      <w:r w:rsidRPr="00A33A28">
        <w:rPr>
          <w:rFonts w:ascii="Times New Roman" w:hAnsi="Times New Roman" w:cs="Times New Roman"/>
          <w:sz w:val="24"/>
          <w:szCs w:val="24"/>
        </w:rPr>
        <w:tab/>
      </w:r>
      <w:r w:rsidRPr="00A33A28">
        <w:rPr>
          <w:rFonts w:ascii="Times New Roman" w:hAnsi="Times New Roman" w:cs="Times New Roman"/>
          <w:b/>
          <w:sz w:val="24"/>
          <w:szCs w:val="24"/>
        </w:rPr>
        <w:t>Plní sa priebežne</w:t>
      </w:r>
    </w:p>
    <w:p w14:paraId="64EC8930" w14:textId="77777777" w:rsidR="00070D19" w:rsidRPr="00A33A28" w:rsidRDefault="00070D19" w:rsidP="00070D19">
      <w:pPr>
        <w:tabs>
          <w:tab w:val="left" w:pos="284"/>
        </w:tabs>
        <w:spacing w:line="240" w:lineRule="auto"/>
        <w:ind w:left="1985"/>
        <w:jc w:val="both"/>
        <w:rPr>
          <w:rFonts w:ascii="Times New Roman" w:hAnsi="Times New Roman" w:cs="Times New Roman"/>
          <w:sz w:val="24"/>
          <w:szCs w:val="24"/>
        </w:rPr>
      </w:pPr>
      <w:r w:rsidRPr="00A33A28">
        <w:rPr>
          <w:rFonts w:ascii="Times New Roman" w:hAnsi="Times New Roman" w:cs="Times New Roman"/>
          <w:sz w:val="24"/>
          <w:szCs w:val="24"/>
        </w:rPr>
        <w:t>Slovenská inovačná a energetická agentúra do februára 2018 vykonala viaceré aktivity na zozbieranie potrebných dát mapujúcich súčasný stav hospodárskej špecializácie podľa RIS3. Vyhodnotenie prác realizovaných Slovenskou inovačnou a energetickou agentúrou, ktorá v rámci piatich doménových platforiem zozbierala údaje od celkom 577 respondentov, ktorí zastupovali firmy z oblastí, reprezentujúcich funkčné väzby na kľúčové odvetvia podľa NACE kódov, ako boli identifikované v Implementačnom pláne RIS3 schválenom EK. Každý z vytvorených dotazníkov obsahoval časti, ktoré boli zhodné pre všetky doménové platformy v rozsahu cca 75 % (jednotlivé otázky mohli byť modifikované na základe pripomienok členov pracovných skupín) a časť, ktorá bola vždy unikátna pre každú z domén. Tu sa pripravovali nielen otázky, ale SIEA participovala aj na tvorbe a popise rozvojových trendov, resp. na tvorbe tzv. integrovaných rozvojových trendov, ktoré vznikali po prvom zhodnotení výsledkov zberu a analýzy dát  na zasadnutiach jednotlivých pracovných skupín.</w:t>
      </w:r>
    </w:p>
    <w:p w14:paraId="6157D705" w14:textId="77777777" w:rsidR="00070D19" w:rsidRPr="00A33A28" w:rsidRDefault="00070D19" w:rsidP="00070D19">
      <w:pPr>
        <w:tabs>
          <w:tab w:val="left" w:pos="284"/>
        </w:tabs>
        <w:jc w:val="both"/>
        <w:rPr>
          <w:rFonts w:ascii="Times New Roman" w:hAnsi="Times New Roman" w:cs="Times New Roman"/>
          <w:sz w:val="24"/>
          <w:szCs w:val="24"/>
        </w:rPr>
        <w:sectPr w:rsidR="00070D19" w:rsidRPr="00A33A28" w:rsidSect="006765B2">
          <w:footerReference w:type="default" r:id="rId25"/>
          <w:endnotePr>
            <w:numFmt w:val="decimal"/>
          </w:endnotePr>
          <w:pgSz w:w="11906" w:h="16838" w:code="9"/>
          <w:pgMar w:top="851" w:right="1416" w:bottom="709" w:left="1134" w:header="709" w:footer="255" w:gutter="0"/>
          <w:paperSrc w:first="15" w:other="15"/>
          <w:pgNumType w:start="2"/>
          <w:cols w:space="708"/>
          <w:titlePg/>
          <w:docGrid w:linePitch="360"/>
        </w:sectPr>
      </w:pPr>
    </w:p>
    <w:p w14:paraId="01E0B9D4" w14:textId="77777777" w:rsidR="00070D19" w:rsidRPr="00A33A28" w:rsidRDefault="00070D19" w:rsidP="00070D19">
      <w:pPr>
        <w:pStyle w:val="Odsekzoznamu"/>
        <w:numPr>
          <w:ilvl w:val="0"/>
          <w:numId w:val="1"/>
        </w:numPr>
        <w:tabs>
          <w:tab w:val="left" w:pos="284"/>
        </w:tabs>
        <w:rPr>
          <w:rFonts w:ascii="Times New Roman" w:hAnsi="Times New Roman" w:cs="Times New Roman"/>
          <w:b/>
          <w:sz w:val="28"/>
          <w:szCs w:val="28"/>
        </w:rPr>
      </w:pPr>
      <w:r w:rsidRPr="00A33A28">
        <w:rPr>
          <w:rFonts w:ascii="Times New Roman" w:hAnsi="Times New Roman" w:cs="Times New Roman"/>
          <w:b/>
          <w:sz w:val="28"/>
          <w:szCs w:val="28"/>
        </w:rPr>
        <w:lastRenderedPageBreak/>
        <w:t xml:space="preserve">Informácia o agende lepšej regulácie </w:t>
      </w:r>
    </w:p>
    <w:p w14:paraId="2545B9C8" w14:textId="77777777" w:rsidR="00070D19" w:rsidRPr="00A33A28" w:rsidRDefault="00070D19" w:rsidP="00070D19">
      <w:pPr>
        <w:spacing w:after="0" w:line="240" w:lineRule="auto"/>
        <w:jc w:val="both"/>
        <w:rPr>
          <w:rFonts w:ascii="Times New Roman" w:hAnsi="Times New Roman" w:cs="Times New Roman"/>
          <w:sz w:val="24"/>
          <w:szCs w:val="24"/>
        </w:rPr>
      </w:pPr>
    </w:p>
    <w:p w14:paraId="7EF4F73C" w14:textId="77777777" w:rsidR="00070D19" w:rsidRPr="00A33A28" w:rsidRDefault="00070D19" w:rsidP="00070D19">
      <w:pPr>
        <w:spacing w:after="0" w:line="240" w:lineRule="auto"/>
        <w:ind w:firstLine="708"/>
        <w:jc w:val="both"/>
        <w:rPr>
          <w:rFonts w:ascii="Times New Roman" w:hAnsi="Times New Roman" w:cs="Times New Roman"/>
          <w:sz w:val="24"/>
          <w:szCs w:val="24"/>
        </w:rPr>
      </w:pPr>
      <w:r w:rsidRPr="00A33A28">
        <w:rPr>
          <w:rFonts w:ascii="Times New Roman" w:hAnsi="Times New Roman" w:cs="Times New Roman"/>
          <w:sz w:val="24"/>
          <w:szCs w:val="24"/>
        </w:rPr>
        <w:t xml:space="preserve">Agenda lepšej regulácie je kľúčovým predpokladom pre hospodársky rast, konkurencieschopnosť krajiny a zvyšovanie životnej úrovne jej obyvateľov. </w:t>
      </w:r>
    </w:p>
    <w:p w14:paraId="16BDB7E1" w14:textId="77777777" w:rsidR="00070D19" w:rsidRPr="00A33A28" w:rsidRDefault="00070D19" w:rsidP="00070D19">
      <w:pPr>
        <w:spacing w:after="0" w:line="240" w:lineRule="auto"/>
        <w:ind w:firstLine="708"/>
        <w:jc w:val="both"/>
        <w:rPr>
          <w:rFonts w:ascii="Times New Roman" w:hAnsi="Times New Roman" w:cs="Times New Roman"/>
          <w:sz w:val="24"/>
          <w:szCs w:val="24"/>
        </w:rPr>
      </w:pPr>
      <w:r w:rsidRPr="00A33A28">
        <w:rPr>
          <w:rFonts w:ascii="Times New Roman" w:hAnsi="Times New Roman" w:cs="Times New Roman"/>
          <w:sz w:val="24"/>
          <w:szCs w:val="24"/>
        </w:rPr>
        <w:t>Medzi jej hlavné aspekty patrí skvalitnenie regulačného cyklu zákonov a strategických dokumentov na základe systematického uplatňovania princípov otvorenosti, zrozumiteľnosti, zapojenia verejnosti do ich prípravy a rozhodovania na základe informácií.</w:t>
      </w:r>
    </w:p>
    <w:p w14:paraId="0743E89E" w14:textId="77777777" w:rsidR="00070D19" w:rsidRPr="00A33A28" w:rsidRDefault="00070D19" w:rsidP="00070D19">
      <w:pPr>
        <w:spacing w:after="0" w:line="240" w:lineRule="auto"/>
        <w:jc w:val="both"/>
        <w:rPr>
          <w:rFonts w:ascii="Times New Roman" w:hAnsi="Times New Roman" w:cs="Times New Roman"/>
          <w:sz w:val="24"/>
          <w:szCs w:val="24"/>
        </w:rPr>
      </w:pPr>
    </w:p>
    <w:p w14:paraId="533F9983" w14:textId="77777777" w:rsidR="00070D19" w:rsidRPr="00A33A28" w:rsidRDefault="00070D19" w:rsidP="00070D19">
      <w:pPr>
        <w:pStyle w:val="Odsekzoznamu"/>
        <w:numPr>
          <w:ilvl w:val="1"/>
          <w:numId w:val="1"/>
        </w:numPr>
        <w:tabs>
          <w:tab w:val="left" w:pos="284"/>
        </w:tabs>
        <w:ind w:left="502" w:hanging="502"/>
        <w:rPr>
          <w:rFonts w:ascii="Times New Roman" w:hAnsi="Times New Roman" w:cs="Times New Roman"/>
          <w:b/>
          <w:sz w:val="24"/>
          <w:szCs w:val="24"/>
        </w:rPr>
      </w:pPr>
      <w:r w:rsidRPr="00A33A28">
        <w:rPr>
          <w:rFonts w:ascii="Times New Roman" w:hAnsi="Times New Roman" w:cs="Times New Roman"/>
          <w:b/>
          <w:sz w:val="24"/>
          <w:szCs w:val="24"/>
        </w:rPr>
        <w:t>RIA 2020 – Stratégia lepšej regulácie</w:t>
      </w:r>
    </w:p>
    <w:p w14:paraId="49F1258F" w14:textId="77777777" w:rsidR="00070D19" w:rsidRPr="00A33A28" w:rsidRDefault="00070D19" w:rsidP="00070D19">
      <w:pPr>
        <w:spacing w:after="0" w:line="240" w:lineRule="auto"/>
        <w:ind w:firstLine="851"/>
        <w:jc w:val="both"/>
        <w:rPr>
          <w:rFonts w:ascii="Times New Roman" w:hAnsi="Times New Roman" w:cs="Times New Roman"/>
          <w:sz w:val="24"/>
          <w:szCs w:val="24"/>
        </w:rPr>
      </w:pPr>
    </w:p>
    <w:p w14:paraId="433AB92A" w14:textId="77777777" w:rsidR="00070D19" w:rsidRPr="00A33A28" w:rsidRDefault="00070D19" w:rsidP="00070D19">
      <w:pPr>
        <w:spacing w:after="0" w:line="240" w:lineRule="auto"/>
        <w:ind w:firstLine="851"/>
        <w:jc w:val="both"/>
        <w:rPr>
          <w:rFonts w:ascii="Times New Roman" w:hAnsi="Times New Roman" w:cs="Times New Roman"/>
          <w:sz w:val="24"/>
          <w:szCs w:val="24"/>
        </w:rPr>
      </w:pPr>
      <w:r w:rsidRPr="00A33A28">
        <w:rPr>
          <w:rFonts w:ascii="Times New Roman" w:hAnsi="Times New Roman" w:cs="Times New Roman"/>
          <w:sz w:val="24"/>
          <w:szCs w:val="24"/>
        </w:rPr>
        <w:t xml:space="preserve">Tento strategický koncepčný materiál vrátane akčného plánu vypracovalo MH SR ako reakciu na dlhodobú absenciu smerovania agendy lepšej regulácie. Je v súlade s Programovým vyhlásením vlády s cieľom je do roku 2020 implementovať moderné nástroje na tvorbu </w:t>
      </w:r>
      <w:r w:rsidRPr="00A33A28">
        <w:rPr>
          <w:rFonts w:ascii="Times New Roman" w:hAnsi="Times New Roman" w:cs="Times New Roman"/>
          <w:sz w:val="24"/>
          <w:szCs w:val="24"/>
        </w:rPr>
        <w:br/>
        <w:t>a hodnotenie regulácií.</w:t>
      </w:r>
    </w:p>
    <w:p w14:paraId="3EDE4E69" w14:textId="77777777" w:rsidR="00070D19" w:rsidRPr="00A33A28" w:rsidRDefault="00070D19" w:rsidP="00070D19">
      <w:pPr>
        <w:spacing w:after="0" w:line="240" w:lineRule="auto"/>
        <w:ind w:firstLine="851"/>
        <w:jc w:val="both"/>
        <w:rPr>
          <w:rFonts w:ascii="Times New Roman" w:hAnsi="Times New Roman" w:cs="Times New Roman"/>
          <w:sz w:val="24"/>
          <w:szCs w:val="24"/>
        </w:rPr>
      </w:pPr>
      <w:r w:rsidRPr="00A33A28">
        <w:rPr>
          <w:rFonts w:ascii="Times New Roman" w:hAnsi="Times New Roman" w:cs="Times New Roman"/>
          <w:sz w:val="24"/>
          <w:szCs w:val="24"/>
        </w:rPr>
        <w:t>RIA 2020 – Stratégia lepšej regulácie</w:t>
      </w:r>
      <w:r w:rsidRPr="00A33A28">
        <w:rPr>
          <w:rStyle w:val="Odkaznapoznmkupodiarou"/>
          <w:sz w:val="24"/>
          <w:szCs w:val="24"/>
        </w:rPr>
        <w:footnoteReference w:id="9"/>
      </w:r>
      <w:r w:rsidRPr="00A33A28">
        <w:rPr>
          <w:rFonts w:ascii="Times New Roman" w:hAnsi="Times New Roman" w:cs="Times New Roman"/>
          <w:sz w:val="24"/>
          <w:szCs w:val="24"/>
        </w:rPr>
        <w:t xml:space="preserve"> (ďalej len „stratégia“) stanovuje vízie a ciele lepšej regulácie v SR do roku 2020. Stratégiu vláda SR schválila uznesením č. 32 z 24. januára 2018. Z princípov vyplývajúcich z tejto stratégie budú vychádzať všetky metodiky a nástroje lepšej regulácie. Ministerstvu hospodárstva sa spolu so Stálou pracovnou komisiou </w:t>
      </w:r>
      <w:r w:rsidRPr="00A33A28">
        <w:rPr>
          <w:rFonts w:ascii="Times New Roman" w:hAnsi="Times New Roman" w:cs="Times New Roman"/>
          <w:sz w:val="24"/>
          <w:szCs w:val="24"/>
        </w:rPr>
        <w:br/>
        <w:t xml:space="preserve">pri Legislatívnej rade vlády SR na posudzovanie vybraných vplyvov (ďalej len „Komisia RIA“) podarilo prostredníctvom Jednotnej metodiky na posudzovanie vybraných vplyvov pomerne kvalitne do praxe zaviesť ex </w:t>
      </w:r>
      <w:proofErr w:type="spellStart"/>
      <w:r w:rsidRPr="00A33A28">
        <w:rPr>
          <w:rFonts w:ascii="Times New Roman" w:hAnsi="Times New Roman" w:cs="Times New Roman"/>
          <w:sz w:val="24"/>
          <w:szCs w:val="24"/>
        </w:rPr>
        <w:t>ante</w:t>
      </w:r>
      <w:proofErr w:type="spellEnd"/>
      <w:r w:rsidRPr="00A33A28">
        <w:rPr>
          <w:rFonts w:ascii="Times New Roman" w:hAnsi="Times New Roman" w:cs="Times New Roman"/>
          <w:sz w:val="24"/>
          <w:szCs w:val="24"/>
        </w:rPr>
        <w:t xml:space="preserve"> posudzovanie vplyvov regulácií počas ich prípravy. Predložená stratégia má však ambíciu pokryť celý životný cyklus regulácie (pozri Schéma 6.1.1).</w:t>
      </w:r>
    </w:p>
    <w:p w14:paraId="7172D6ED" w14:textId="77777777" w:rsidR="00070D19" w:rsidRPr="00A33A28" w:rsidRDefault="00070D19" w:rsidP="00070D19">
      <w:pPr>
        <w:spacing w:after="0" w:line="240" w:lineRule="auto"/>
        <w:jc w:val="both"/>
        <w:rPr>
          <w:rFonts w:ascii="Times New Roman" w:hAnsi="Times New Roman" w:cs="Times New Roman"/>
          <w:b/>
          <w:sz w:val="24"/>
          <w:szCs w:val="24"/>
        </w:rPr>
      </w:pPr>
    </w:p>
    <w:p w14:paraId="5DAC388F" w14:textId="77777777" w:rsidR="00070D19" w:rsidRPr="00A33A28" w:rsidRDefault="00070D19" w:rsidP="00070D19">
      <w:pPr>
        <w:spacing w:after="0" w:line="240" w:lineRule="auto"/>
        <w:jc w:val="both"/>
        <w:rPr>
          <w:rFonts w:ascii="Times New Roman" w:hAnsi="Times New Roman" w:cs="Times New Roman"/>
          <w:sz w:val="24"/>
          <w:szCs w:val="24"/>
        </w:rPr>
      </w:pPr>
      <w:r w:rsidRPr="00A33A28">
        <w:rPr>
          <w:rFonts w:ascii="Times New Roman" w:hAnsi="Times New Roman" w:cs="Times New Roman"/>
          <w:b/>
          <w:sz w:val="24"/>
          <w:szCs w:val="24"/>
        </w:rPr>
        <w:t>Schéma 5.1.1: Regulačný cyklus</w:t>
      </w:r>
    </w:p>
    <w:p w14:paraId="3302A688" w14:textId="77777777" w:rsidR="00070D19" w:rsidRPr="00A33A28" w:rsidRDefault="00070D19" w:rsidP="00070D19">
      <w:pPr>
        <w:spacing w:after="0" w:line="240" w:lineRule="auto"/>
        <w:jc w:val="both"/>
        <w:rPr>
          <w:rFonts w:ascii="Times New Roman" w:hAnsi="Times New Roman" w:cs="Times New Roman"/>
          <w:sz w:val="24"/>
          <w:szCs w:val="24"/>
        </w:rPr>
      </w:pPr>
      <w:r w:rsidRPr="00A33A28">
        <w:rPr>
          <w:rFonts w:ascii="Times New Roman" w:hAnsi="Times New Roman" w:cs="Times New Roman"/>
          <w:noProof/>
          <w:sz w:val="24"/>
          <w:szCs w:val="24"/>
          <w:lang w:eastAsia="sk-SK"/>
        </w:rPr>
        <w:t xml:space="preserve"> </w:t>
      </w:r>
      <w:r w:rsidRPr="00A33A28">
        <w:rPr>
          <w:rFonts w:ascii="Times New Roman" w:hAnsi="Times New Roman" w:cs="Times New Roman"/>
          <w:noProof/>
          <w:sz w:val="24"/>
          <w:szCs w:val="24"/>
          <w:lang w:eastAsia="sk-SK"/>
        </w:rPr>
        <w:drawing>
          <wp:inline distT="0" distB="0" distL="0" distR="0" wp14:anchorId="3F65B262" wp14:editId="3B791EE9">
            <wp:extent cx="4776952" cy="2961579"/>
            <wp:effectExtent l="0" t="0" r="5080" b="0"/>
            <wp:docPr id="2069" name="Obrázok 20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6"/>
                    <a:srcRect l="16989" t="13260" r="14089" b="10621"/>
                    <a:stretch/>
                  </pic:blipFill>
                  <pic:spPr bwMode="auto">
                    <a:xfrm>
                      <a:off x="0" y="0"/>
                      <a:ext cx="4792895" cy="2971463"/>
                    </a:xfrm>
                    <a:prstGeom prst="rect">
                      <a:avLst/>
                    </a:prstGeom>
                    <a:ln>
                      <a:noFill/>
                    </a:ln>
                    <a:extLst>
                      <a:ext uri="{53640926-AAD7-44D8-BBD7-CCE9431645EC}">
                        <a14:shadowObscured xmlns:a14="http://schemas.microsoft.com/office/drawing/2010/main"/>
                      </a:ext>
                    </a:extLst>
                  </pic:spPr>
                </pic:pic>
              </a:graphicData>
            </a:graphic>
          </wp:inline>
        </w:drawing>
      </w:r>
    </w:p>
    <w:p w14:paraId="07BB8E6B" w14:textId="77777777" w:rsidR="00070D19" w:rsidRPr="00A33A28" w:rsidRDefault="00070D19" w:rsidP="00070D19">
      <w:pPr>
        <w:spacing w:after="0" w:line="240" w:lineRule="auto"/>
        <w:jc w:val="both"/>
        <w:rPr>
          <w:rFonts w:ascii="Times New Roman" w:hAnsi="Times New Roman" w:cs="Times New Roman"/>
          <w:sz w:val="16"/>
          <w:szCs w:val="16"/>
        </w:rPr>
      </w:pPr>
      <w:r w:rsidRPr="00A33A28">
        <w:rPr>
          <w:rFonts w:ascii="Times New Roman" w:hAnsi="Times New Roman" w:cs="Times New Roman"/>
          <w:sz w:val="16"/>
          <w:szCs w:val="16"/>
        </w:rPr>
        <w:t>Zdroj: RIA 2020 – Stratégia lepšej regulácie</w:t>
      </w:r>
    </w:p>
    <w:p w14:paraId="41535EA3" w14:textId="77777777" w:rsidR="00070D19" w:rsidRPr="00A33A28" w:rsidRDefault="00070D19" w:rsidP="00070D19">
      <w:pPr>
        <w:spacing w:after="0" w:line="240" w:lineRule="auto"/>
        <w:jc w:val="both"/>
        <w:rPr>
          <w:rFonts w:ascii="Times New Roman" w:hAnsi="Times New Roman" w:cs="Times New Roman"/>
          <w:sz w:val="24"/>
          <w:szCs w:val="24"/>
        </w:rPr>
      </w:pPr>
    </w:p>
    <w:p w14:paraId="36625CCC" w14:textId="77777777" w:rsidR="00070D19" w:rsidRPr="00A33A28" w:rsidRDefault="00070D19" w:rsidP="00070D19">
      <w:pPr>
        <w:spacing w:after="0" w:line="240" w:lineRule="auto"/>
        <w:ind w:firstLine="851"/>
        <w:jc w:val="both"/>
        <w:rPr>
          <w:rFonts w:ascii="Times New Roman" w:hAnsi="Times New Roman" w:cs="Times New Roman"/>
          <w:sz w:val="24"/>
          <w:szCs w:val="24"/>
        </w:rPr>
      </w:pPr>
      <w:r w:rsidRPr="00A33A28">
        <w:rPr>
          <w:rFonts w:ascii="Times New Roman" w:hAnsi="Times New Roman" w:cs="Times New Roman"/>
          <w:sz w:val="24"/>
          <w:szCs w:val="24"/>
        </w:rPr>
        <w:t xml:space="preserve">Súčasťou konzultačného procesu je ex </w:t>
      </w:r>
      <w:proofErr w:type="spellStart"/>
      <w:r w:rsidRPr="00A33A28">
        <w:rPr>
          <w:rFonts w:ascii="Times New Roman" w:hAnsi="Times New Roman" w:cs="Times New Roman"/>
          <w:sz w:val="24"/>
          <w:szCs w:val="24"/>
        </w:rPr>
        <w:t>ante</w:t>
      </w:r>
      <w:proofErr w:type="spellEnd"/>
      <w:r w:rsidRPr="00A33A28">
        <w:rPr>
          <w:rFonts w:ascii="Times New Roman" w:hAnsi="Times New Roman" w:cs="Times New Roman"/>
          <w:sz w:val="24"/>
          <w:szCs w:val="24"/>
        </w:rPr>
        <w:t xml:space="preserve"> posúdenie vplyvov navrhovaných alternatív s cieľom vybrať spomedzi nich tú optimálnu. Zároveň sa definujú ciele regulácie a spôsob vyhodnotenia jej účelnosti, ktoré sú základom pre ex post hodnotenie. Tieto kroky sú súčasťou prípravnej fázy tvorby regulácie. Druhou fázou cyklu je implementačná fáza, ktorá začína schválením danej regulácie (vo forme nelegislatívneho materiálu alebo paragrafového znenia legislatívneho materiálu). Predkladateľ by mal priebežne monitorovať implementáciu regulácie v praxi a vo vopred danom termíne vykonať ex post hodnotenie jej účelnosti a efektívnosti. </w:t>
      </w:r>
      <w:r w:rsidRPr="00A33A28">
        <w:rPr>
          <w:rFonts w:ascii="Times New Roman" w:hAnsi="Times New Roman" w:cs="Times New Roman"/>
          <w:sz w:val="24"/>
          <w:szCs w:val="24"/>
        </w:rPr>
        <w:br/>
        <w:t xml:space="preserve">Toto hodnotenie by malo poskytnúť informácie pre rozhodnutie, či daná regulácia plní svoje ciele a teda sa ponechá v prostredí, alebo tieto ciele neplní, resp. už ich splnila a je potrebná jej </w:t>
      </w:r>
      <w:r w:rsidRPr="00A33A28">
        <w:rPr>
          <w:rFonts w:ascii="Times New Roman" w:hAnsi="Times New Roman" w:cs="Times New Roman"/>
          <w:sz w:val="24"/>
          <w:szCs w:val="24"/>
        </w:rPr>
        <w:lastRenderedPageBreak/>
        <w:t xml:space="preserve">zmena alebo zrušenie. V prípade zmeny alebo zrušenia regulácie sa celý regulačný cyklus začne </w:t>
      </w:r>
      <w:r w:rsidRPr="00A33A28">
        <w:rPr>
          <w:rFonts w:ascii="Times New Roman" w:hAnsi="Times New Roman" w:cs="Times New Roman"/>
          <w:sz w:val="24"/>
          <w:szCs w:val="24"/>
        </w:rPr>
        <w:br/>
        <w:t>od začiatku, teda definovaním problému.</w:t>
      </w:r>
    </w:p>
    <w:p w14:paraId="768EBFD2" w14:textId="77777777" w:rsidR="00070D19" w:rsidRPr="00A33A28" w:rsidRDefault="00070D19" w:rsidP="00070D19">
      <w:pPr>
        <w:spacing w:after="0" w:line="240" w:lineRule="auto"/>
        <w:ind w:firstLine="851"/>
        <w:jc w:val="both"/>
        <w:rPr>
          <w:rFonts w:ascii="Times New Roman" w:hAnsi="Times New Roman" w:cs="Times New Roman"/>
          <w:sz w:val="24"/>
          <w:szCs w:val="24"/>
        </w:rPr>
      </w:pPr>
      <w:r w:rsidRPr="00A33A28">
        <w:rPr>
          <w:rFonts w:ascii="Times New Roman" w:hAnsi="Times New Roman" w:cs="Times New Roman"/>
          <w:sz w:val="24"/>
          <w:szCs w:val="24"/>
        </w:rPr>
        <w:t xml:space="preserve">Stratégia si kladie ambiciózne, ale pritom reálne ciele, ktorých konečným výsledkom </w:t>
      </w:r>
      <w:r w:rsidRPr="00A33A28">
        <w:rPr>
          <w:rFonts w:ascii="Times New Roman" w:hAnsi="Times New Roman" w:cs="Times New Roman"/>
          <w:sz w:val="24"/>
          <w:szCs w:val="24"/>
        </w:rPr>
        <w:br/>
        <w:t xml:space="preserve">by malo byť optimalizované regulačné prostredie nielen pre podnikateľov, ale pre všetkých obyvateľov SR vôbec. Stratégia sa zameriava na päť strategických cieľov: </w:t>
      </w:r>
    </w:p>
    <w:p w14:paraId="5D61C097" w14:textId="77777777" w:rsidR="00070D19" w:rsidRPr="00A33A28" w:rsidRDefault="00070D19" w:rsidP="00070D19">
      <w:pPr>
        <w:spacing w:after="0" w:line="240" w:lineRule="auto"/>
        <w:ind w:firstLine="851"/>
        <w:jc w:val="both"/>
        <w:rPr>
          <w:rFonts w:ascii="Times New Roman" w:hAnsi="Times New Roman" w:cs="Times New Roman"/>
          <w:sz w:val="24"/>
          <w:szCs w:val="24"/>
        </w:rPr>
      </w:pPr>
      <w:r w:rsidRPr="00A33A28">
        <w:rPr>
          <w:rFonts w:ascii="Times New Roman" w:hAnsi="Times New Roman" w:cs="Times New Roman"/>
          <w:sz w:val="24"/>
          <w:szCs w:val="24"/>
        </w:rPr>
        <w:t>1. Zvýšiť povedomie verejnosti o lepšej regulácii a zabezpečiť jej propagáciu;</w:t>
      </w:r>
    </w:p>
    <w:p w14:paraId="0A2650E0" w14:textId="77777777" w:rsidR="00070D19" w:rsidRPr="00A33A28" w:rsidRDefault="00070D19" w:rsidP="00070D19">
      <w:pPr>
        <w:spacing w:after="0" w:line="240" w:lineRule="auto"/>
        <w:ind w:firstLine="851"/>
        <w:jc w:val="both"/>
        <w:rPr>
          <w:rFonts w:ascii="Times New Roman" w:hAnsi="Times New Roman" w:cs="Times New Roman"/>
          <w:sz w:val="24"/>
          <w:szCs w:val="24"/>
        </w:rPr>
      </w:pPr>
      <w:r w:rsidRPr="00A33A28">
        <w:rPr>
          <w:rFonts w:ascii="Times New Roman" w:hAnsi="Times New Roman" w:cs="Times New Roman"/>
          <w:sz w:val="24"/>
          <w:szCs w:val="24"/>
        </w:rPr>
        <w:t xml:space="preserve">2. Zvýšiť kvalitu procesu ex </w:t>
      </w:r>
      <w:proofErr w:type="spellStart"/>
      <w:r w:rsidRPr="00A33A28">
        <w:rPr>
          <w:rFonts w:ascii="Times New Roman" w:hAnsi="Times New Roman" w:cs="Times New Roman"/>
          <w:sz w:val="24"/>
          <w:szCs w:val="24"/>
        </w:rPr>
        <w:t>ante</w:t>
      </w:r>
      <w:proofErr w:type="spellEnd"/>
      <w:r w:rsidRPr="00A33A28">
        <w:rPr>
          <w:rFonts w:ascii="Times New Roman" w:hAnsi="Times New Roman" w:cs="Times New Roman"/>
          <w:sz w:val="24"/>
          <w:szCs w:val="24"/>
        </w:rPr>
        <w:t xml:space="preserve"> posudzovania vplyvov; </w:t>
      </w:r>
    </w:p>
    <w:p w14:paraId="7AF96A0D" w14:textId="77777777" w:rsidR="00070D19" w:rsidRPr="00A33A28" w:rsidRDefault="00070D19" w:rsidP="00070D19">
      <w:pPr>
        <w:spacing w:after="0" w:line="240" w:lineRule="auto"/>
        <w:ind w:firstLine="851"/>
        <w:jc w:val="both"/>
        <w:rPr>
          <w:rFonts w:ascii="Times New Roman" w:hAnsi="Times New Roman" w:cs="Times New Roman"/>
          <w:sz w:val="24"/>
          <w:szCs w:val="24"/>
        </w:rPr>
      </w:pPr>
      <w:r w:rsidRPr="00A33A28">
        <w:rPr>
          <w:rFonts w:ascii="Times New Roman" w:hAnsi="Times New Roman" w:cs="Times New Roman"/>
          <w:sz w:val="24"/>
          <w:szCs w:val="24"/>
        </w:rPr>
        <w:t xml:space="preserve">3. Zaviesť systematické ex post hodnotenie regulácií; </w:t>
      </w:r>
    </w:p>
    <w:p w14:paraId="4D667C44" w14:textId="77777777" w:rsidR="00070D19" w:rsidRPr="00A33A28" w:rsidRDefault="00070D19" w:rsidP="00070D19">
      <w:pPr>
        <w:spacing w:after="0" w:line="240" w:lineRule="auto"/>
        <w:ind w:firstLine="851"/>
        <w:jc w:val="both"/>
        <w:rPr>
          <w:rFonts w:ascii="Times New Roman" w:hAnsi="Times New Roman" w:cs="Times New Roman"/>
          <w:sz w:val="24"/>
          <w:szCs w:val="24"/>
        </w:rPr>
      </w:pPr>
      <w:r w:rsidRPr="00A33A28">
        <w:rPr>
          <w:rFonts w:ascii="Times New Roman" w:hAnsi="Times New Roman" w:cs="Times New Roman"/>
          <w:sz w:val="24"/>
          <w:szCs w:val="24"/>
        </w:rPr>
        <w:t xml:space="preserve">4. Implementovať inovatívne prístupy tvorby procesu lepšej regulácie; </w:t>
      </w:r>
    </w:p>
    <w:p w14:paraId="6FBA2D2B" w14:textId="77777777" w:rsidR="00070D19" w:rsidRPr="00A33A28" w:rsidRDefault="00070D19" w:rsidP="00070D19">
      <w:pPr>
        <w:spacing w:after="0" w:line="240" w:lineRule="auto"/>
        <w:ind w:firstLine="851"/>
        <w:jc w:val="both"/>
        <w:rPr>
          <w:rFonts w:ascii="Times New Roman" w:hAnsi="Times New Roman" w:cs="Times New Roman"/>
          <w:sz w:val="24"/>
          <w:szCs w:val="24"/>
        </w:rPr>
      </w:pPr>
      <w:r w:rsidRPr="00A33A28">
        <w:rPr>
          <w:rFonts w:ascii="Times New Roman" w:hAnsi="Times New Roman" w:cs="Times New Roman"/>
          <w:sz w:val="24"/>
          <w:szCs w:val="24"/>
        </w:rPr>
        <w:t xml:space="preserve">5. Vytvoriť podmienky pre zapojenie ďalších subjektov do aktivít lepšej regulácie. </w:t>
      </w:r>
    </w:p>
    <w:p w14:paraId="5463BD1C" w14:textId="77777777" w:rsidR="00070D19" w:rsidRPr="00A33A28" w:rsidRDefault="00070D19" w:rsidP="00070D19">
      <w:pPr>
        <w:spacing w:after="0" w:line="240" w:lineRule="auto"/>
        <w:ind w:firstLine="851"/>
        <w:jc w:val="both"/>
        <w:rPr>
          <w:rFonts w:ascii="Times New Roman" w:hAnsi="Times New Roman" w:cs="Times New Roman"/>
          <w:sz w:val="24"/>
          <w:szCs w:val="24"/>
        </w:rPr>
      </w:pPr>
      <w:r w:rsidRPr="00A33A28">
        <w:rPr>
          <w:rFonts w:ascii="Times New Roman" w:hAnsi="Times New Roman" w:cs="Times New Roman"/>
          <w:sz w:val="24"/>
          <w:szCs w:val="24"/>
        </w:rPr>
        <w:t>Stratégia obsahuje aj jeden prierezový cieľ, súvisiaci s inteligentnými riešeniami podporujúcimi procesy lepšej regulácie. K optimalizácii všetkých procesov a k analytickému využívaniu dostupných dát by mala slúžiť komplexná IT platforma lepšej regulácie, ktorá v sebe bude spájať tri zložky: komunikačnú, dátovú a analytickú.</w:t>
      </w:r>
    </w:p>
    <w:p w14:paraId="115AC9FE" w14:textId="77777777" w:rsidR="00070D19" w:rsidRPr="00A33A28" w:rsidRDefault="00070D19" w:rsidP="00070D19">
      <w:pPr>
        <w:spacing w:after="0" w:line="240" w:lineRule="auto"/>
        <w:ind w:firstLine="851"/>
        <w:jc w:val="both"/>
        <w:rPr>
          <w:rFonts w:ascii="Times New Roman" w:hAnsi="Times New Roman" w:cs="Times New Roman"/>
          <w:sz w:val="24"/>
          <w:szCs w:val="24"/>
        </w:rPr>
      </w:pPr>
      <w:r w:rsidRPr="00A33A28">
        <w:rPr>
          <w:rFonts w:ascii="Times New Roman" w:hAnsi="Times New Roman" w:cs="Times New Roman"/>
          <w:sz w:val="24"/>
          <w:szCs w:val="24"/>
        </w:rPr>
        <w:t xml:space="preserve">Počnúc rokom 2020 by regulácie tvorené v SR mali spĺňať požiadavky moderných, </w:t>
      </w:r>
      <w:proofErr w:type="spellStart"/>
      <w:r w:rsidRPr="00A33A28">
        <w:rPr>
          <w:rFonts w:ascii="Times New Roman" w:hAnsi="Times New Roman" w:cs="Times New Roman"/>
          <w:sz w:val="24"/>
          <w:szCs w:val="24"/>
        </w:rPr>
        <w:t>participatívnym</w:t>
      </w:r>
      <w:proofErr w:type="spellEnd"/>
      <w:r w:rsidRPr="00A33A28">
        <w:rPr>
          <w:rFonts w:ascii="Times New Roman" w:hAnsi="Times New Roman" w:cs="Times New Roman"/>
          <w:sz w:val="24"/>
          <w:szCs w:val="24"/>
        </w:rPr>
        <w:t xml:space="preserve"> spôsobom vypracovaných, nezaťažujúcich a pre prostredie optimálnych nástrojov dosahovania vládnych cieľov. Stratégia RIA 2020 by mala pre všetky subjekty regulačného prostredia znamenať novú kultúru tvorby regulácií.</w:t>
      </w:r>
    </w:p>
    <w:p w14:paraId="6303E18C" w14:textId="77777777" w:rsidR="00070D19" w:rsidRPr="00A33A28" w:rsidRDefault="00070D19" w:rsidP="00070D19">
      <w:pPr>
        <w:spacing w:after="0" w:line="240" w:lineRule="auto"/>
        <w:ind w:firstLine="851"/>
        <w:jc w:val="both"/>
        <w:rPr>
          <w:rFonts w:ascii="Times New Roman" w:hAnsi="Times New Roman" w:cs="Times New Roman"/>
          <w:sz w:val="24"/>
          <w:szCs w:val="24"/>
        </w:rPr>
      </w:pPr>
    </w:p>
    <w:p w14:paraId="26F0B49E" w14:textId="77777777" w:rsidR="00070D19" w:rsidRPr="00A33A28" w:rsidRDefault="00070D19" w:rsidP="00070D19">
      <w:pPr>
        <w:pStyle w:val="Odsekzoznamu"/>
        <w:numPr>
          <w:ilvl w:val="1"/>
          <w:numId w:val="1"/>
        </w:numPr>
        <w:tabs>
          <w:tab w:val="left" w:pos="284"/>
          <w:tab w:val="left" w:pos="426"/>
        </w:tabs>
        <w:ind w:left="0" w:firstLine="0"/>
        <w:rPr>
          <w:rFonts w:ascii="Times New Roman" w:hAnsi="Times New Roman" w:cs="Times New Roman"/>
          <w:b/>
          <w:sz w:val="24"/>
          <w:szCs w:val="24"/>
        </w:rPr>
      </w:pPr>
      <w:r w:rsidRPr="00A33A28">
        <w:rPr>
          <w:rFonts w:ascii="Times New Roman" w:hAnsi="Times New Roman" w:cs="Times New Roman"/>
          <w:b/>
          <w:sz w:val="24"/>
          <w:szCs w:val="24"/>
        </w:rPr>
        <w:t xml:space="preserve">Stála pracovná komisia Legislatívnej rady vlády SR na posudzovanie vybraných vplyvov pri Ministerstve hospodárstva SR </w:t>
      </w:r>
    </w:p>
    <w:p w14:paraId="7B4DD56E" w14:textId="77777777" w:rsidR="00070D19" w:rsidRPr="00A33A28" w:rsidRDefault="00070D19" w:rsidP="00070D19">
      <w:pPr>
        <w:pStyle w:val="Odsekzoznamu"/>
        <w:tabs>
          <w:tab w:val="left" w:pos="426"/>
        </w:tabs>
        <w:ind w:left="0"/>
        <w:rPr>
          <w:rFonts w:ascii="Times New Roman" w:hAnsi="Times New Roman" w:cs="Times New Roman"/>
          <w:b/>
          <w:sz w:val="24"/>
          <w:szCs w:val="24"/>
        </w:rPr>
      </w:pPr>
    </w:p>
    <w:p w14:paraId="7401DA77" w14:textId="77777777" w:rsidR="00070D19" w:rsidRPr="00A33A28" w:rsidRDefault="00070D19" w:rsidP="00070D19">
      <w:pPr>
        <w:spacing w:after="0" w:line="240" w:lineRule="auto"/>
        <w:ind w:firstLine="708"/>
        <w:jc w:val="both"/>
        <w:rPr>
          <w:rFonts w:ascii="Times New Roman" w:hAnsi="Times New Roman" w:cs="Times New Roman"/>
          <w:sz w:val="24"/>
          <w:szCs w:val="24"/>
        </w:rPr>
      </w:pPr>
      <w:r w:rsidRPr="00A33A28">
        <w:rPr>
          <w:rFonts w:ascii="Times New Roman" w:hAnsi="Times New Roman" w:cs="Times New Roman"/>
          <w:sz w:val="24"/>
          <w:szCs w:val="24"/>
        </w:rPr>
        <w:t>Stála pracovná komisia Legislatívnej rady vlády SR na posudzovanie vybraných vplyvov (ďalej len „Komisia RIA“) zastáva funkciu národného koordinátora posudzovania vplyvov v SR. Jej bližšia špecifikácia je zverejnená na webovom sídle MH SR a bola vzatá na vedomie v Správe o stave podnikateľského prostredia v SR v januári 2017.</w:t>
      </w:r>
    </w:p>
    <w:p w14:paraId="0626EAAA" w14:textId="77777777" w:rsidR="00070D19" w:rsidRPr="00A33A28" w:rsidRDefault="00070D19" w:rsidP="00070D19">
      <w:pPr>
        <w:spacing w:after="0" w:line="240" w:lineRule="auto"/>
        <w:ind w:firstLine="708"/>
        <w:jc w:val="both"/>
        <w:rPr>
          <w:rFonts w:ascii="Times New Roman" w:hAnsi="Times New Roman" w:cs="Times New Roman"/>
          <w:sz w:val="24"/>
          <w:szCs w:val="24"/>
        </w:rPr>
      </w:pPr>
      <w:r w:rsidRPr="00A33A28">
        <w:rPr>
          <w:rFonts w:ascii="Times New Roman" w:hAnsi="Times New Roman" w:cs="Times New Roman"/>
          <w:sz w:val="24"/>
          <w:szCs w:val="24"/>
        </w:rPr>
        <w:t xml:space="preserve"> Pokiaľ ide o fázy legislatívneho procesu (pozri schéma 6.1.1), komisia je činná v rámci prípravnej fázy regulácií (ex </w:t>
      </w:r>
      <w:proofErr w:type="spellStart"/>
      <w:r w:rsidRPr="00A33A28">
        <w:rPr>
          <w:rFonts w:ascii="Times New Roman" w:hAnsi="Times New Roman" w:cs="Times New Roman"/>
          <w:sz w:val="24"/>
          <w:szCs w:val="24"/>
        </w:rPr>
        <w:t>ante</w:t>
      </w:r>
      <w:proofErr w:type="spellEnd"/>
      <w:r w:rsidRPr="00A33A28">
        <w:rPr>
          <w:rFonts w:ascii="Times New Roman" w:hAnsi="Times New Roman" w:cs="Times New Roman"/>
          <w:sz w:val="24"/>
          <w:szCs w:val="24"/>
        </w:rPr>
        <w:t xml:space="preserve">). Zameriava sa posudzovanie kvality doložky vybraných vplyvov a príslušných analýz vybraných vplyvov prostredníctvom predbežného pripomienkového konania a záverečného posúdenia vybraných vplyvov. Komisia RIA </w:t>
      </w:r>
      <w:r w:rsidRPr="00A33A28">
        <w:rPr>
          <w:rFonts w:ascii="Times New Roman" w:hAnsi="Times New Roman" w:cs="Times New Roman"/>
          <w:sz w:val="24"/>
          <w:szCs w:val="24"/>
        </w:rPr>
        <w:br/>
        <w:t xml:space="preserve">sa obmedzuje výlučne na problematiku posudzovania vybraných vplyvov, teda nepripomienkuje samotný vecný obsah materiálu. </w:t>
      </w:r>
    </w:p>
    <w:p w14:paraId="1E0530BC" w14:textId="77777777" w:rsidR="00070D19" w:rsidRPr="00A33A28" w:rsidRDefault="00070D19" w:rsidP="00070D19">
      <w:pPr>
        <w:spacing w:after="0" w:line="240" w:lineRule="auto"/>
        <w:ind w:firstLine="708"/>
        <w:jc w:val="both"/>
        <w:rPr>
          <w:rFonts w:ascii="Times New Roman" w:hAnsi="Times New Roman" w:cs="Times New Roman"/>
          <w:sz w:val="24"/>
          <w:szCs w:val="24"/>
        </w:rPr>
      </w:pPr>
      <w:r w:rsidRPr="00A33A28">
        <w:rPr>
          <w:rFonts w:ascii="Times New Roman" w:hAnsi="Times New Roman" w:cs="Times New Roman"/>
          <w:sz w:val="24"/>
          <w:szCs w:val="24"/>
        </w:rPr>
        <w:t xml:space="preserve">Pripomienky Komisie RIA sa najčastejšie týkajú nesprávneho, resp. nedostatočného vyplnenia doložky vybraných vplyvov a jednotlivých analýz vybraných vplyvov, vyčíslenia nákladov, ktoré navrhovaný predpis prináša, ale aj nedodržiavania procesu posudzovania vybraných vplyvov. </w:t>
      </w:r>
    </w:p>
    <w:p w14:paraId="482B5FE2" w14:textId="77777777" w:rsidR="00070D19" w:rsidRPr="00A33A28" w:rsidRDefault="00070D19" w:rsidP="00070D19">
      <w:pPr>
        <w:spacing w:after="0" w:line="240" w:lineRule="auto"/>
        <w:ind w:firstLine="708"/>
        <w:jc w:val="both"/>
        <w:rPr>
          <w:rFonts w:ascii="Times New Roman" w:hAnsi="Times New Roman" w:cs="Times New Roman"/>
          <w:sz w:val="24"/>
          <w:szCs w:val="24"/>
        </w:rPr>
      </w:pPr>
      <w:r w:rsidRPr="00A33A28">
        <w:rPr>
          <w:rFonts w:ascii="Times New Roman" w:hAnsi="Times New Roman" w:cs="Times New Roman"/>
          <w:sz w:val="24"/>
          <w:szCs w:val="24"/>
        </w:rPr>
        <w:t>V priebehu roku 2017 Komisia RIA posúdila celkovo 326 materiálov, takmer 90 % z nich v rámci predbežného pripomienkového konania (289).</w:t>
      </w:r>
    </w:p>
    <w:p w14:paraId="430A34CC" w14:textId="77777777" w:rsidR="00070D19" w:rsidRPr="00A33A28" w:rsidRDefault="00070D19" w:rsidP="00070D19">
      <w:pPr>
        <w:spacing w:after="0" w:line="240" w:lineRule="auto"/>
        <w:jc w:val="both"/>
        <w:rPr>
          <w:rFonts w:ascii="Times New Roman" w:hAnsi="Times New Roman" w:cs="Times New Roman"/>
          <w:b/>
          <w:sz w:val="24"/>
          <w:szCs w:val="24"/>
        </w:rPr>
      </w:pPr>
    </w:p>
    <w:p w14:paraId="79984BD3" w14:textId="77777777" w:rsidR="00070D19" w:rsidRPr="00A33A28" w:rsidRDefault="00070D19" w:rsidP="00070D19">
      <w:pPr>
        <w:spacing w:after="0" w:line="240" w:lineRule="auto"/>
        <w:jc w:val="both"/>
        <w:rPr>
          <w:rFonts w:ascii="Times New Roman" w:hAnsi="Times New Roman" w:cs="Times New Roman"/>
          <w:b/>
          <w:sz w:val="24"/>
          <w:szCs w:val="24"/>
        </w:rPr>
      </w:pPr>
      <w:r w:rsidRPr="00A33A28">
        <w:rPr>
          <w:rFonts w:ascii="Times New Roman" w:hAnsi="Times New Roman" w:cs="Times New Roman"/>
          <w:b/>
          <w:sz w:val="24"/>
          <w:szCs w:val="24"/>
        </w:rPr>
        <w:t>Graf 5.2.1: Počet posudzovaných materiálov v rámci procesu</w:t>
      </w:r>
    </w:p>
    <w:p w14:paraId="62A1D60F" w14:textId="77777777" w:rsidR="00070D19" w:rsidRPr="00A33A28" w:rsidRDefault="00070D19" w:rsidP="00070D19">
      <w:pPr>
        <w:spacing w:after="0" w:line="240" w:lineRule="auto"/>
        <w:jc w:val="both"/>
        <w:rPr>
          <w:rFonts w:ascii="Times New Roman" w:hAnsi="Times New Roman" w:cs="Times New Roman"/>
          <w:b/>
          <w:sz w:val="24"/>
          <w:szCs w:val="24"/>
        </w:rPr>
      </w:pPr>
    </w:p>
    <w:p w14:paraId="759DF9C1" w14:textId="77777777" w:rsidR="00070D19" w:rsidRPr="00A33A28" w:rsidRDefault="00070D19" w:rsidP="00070D19">
      <w:pPr>
        <w:spacing w:after="0" w:line="240" w:lineRule="auto"/>
        <w:jc w:val="both"/>
        <w:rPr>
          <w:rFonts w:ascii="Times New Roman" w:hAnsi="Times New Roman" w:cs="Times New Roman"/>
          <w:sz w:val="24"/>
          <w:szCs w:val="24"/>
        </w:rPr>
      </w:pPr>
      <w:r w:rsidRPr="00A33A28">
        <w:rPr>
          <w:rFonts w:ascii="Times New Roman" w:hAnsi="Times New Roman" w:cs="Times New Roman"/>
          <w:noProof/>
          <w:sz w:val="24"/>
          <w:szCs w:val="24"/>
          <w:shd w:val="clear" w:color="auto" w:fill="17365D" w:themeFill="text2" w:themeFillShade="BF"/>
          <w:lang w:eastAsia="sk-SK"/>
        </w:rPr>
        <w:drawing>
          <wp:inline distT="0" distB="0" distL="0" distR="0" wp14:anchorId="30A3AB29" wp14:editId="11EA078F">
            <wp:extent cx="5725160" cy="1732915"/>
            <wp:effectExtent l="0" t="0" r="8890" b="635"/>
            <wp:docPr id="2068" name="Graf 2068"/>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14:paraId="48834811" w14:textId="77777777" w:rsidR="00070D19" w:rsidRPr="00A33A28" w:rsidRDefault="00070D19" w:rsidP="00070D19">
      <w:pPr>
        <w:tabs>
          <w:tab w:val="left" w:pos="-1134"/>
        </w:tabs>
        <w:spacing w:after="0" w:line="240" w:lineRule="auto"/>
        <w:jc w:val="center"/>
        <w:rPr>
          <w:rFonts w:ascii="Times New Roman" w:hAnsi="Times New Roman" w:cs="Times New Roman"/>
          <w:sz w:val="24"/>
          <w:szCs w:val="24"/>
        </w:rPr>
      </w:pPr>
    </w:p>
    <w:p w14:paraId="6F707DD4" w14:textId="77777777" w:rsidR="00070D19" w:rsidRPr="00A33A28" w:rsidRDefault="00070D19" w:rsidP="00070D19">
      <w:pPr>
        <w:tabs>
          <w:tab w:val="left" w:pos="-1134"/>
        </w:tabs>
        <w:spacing w:after="0" w:line="240" w:lineRule="auto"/>
        <w:jc w:val="center"/>
        <w:rPr>
          <w:rFonts w:ascii="Times New Roman" w:hAnsi="Times New Roman" w:cs="Times New Roman"/>
          <w:sz w:val="24"/>
          <w:szCs w:val="24"/>
        </w:rPr>
      </w:pPr>
    </w:p>
    <w:p w14:paraId="49981D0F" w14:textId="77777777" w:rsidR="00070D19" w:rsidRPr="00A33A28" w:rsidRDefault="00070D19" w:rsidP="00070D19">
      <w:pPr>
        <w:spacing w:after="0" w:line="240" w:lineRule="auto"/>
        <w:jc w:val="both"/>
        <w:rPr>
          <w:rFonts w:ascii="Times New Roman" w:hAnsi="Times New Roman" w:cs="Times New Roman"/>
          <w:sz w:val="16"/>
          <w:szCs w:val="16"/>
        </w:rPr>
      </w:pPr>
      <w:r w:rsidRPr="00A33A28">
        <w:rPr>
          <w:rFonts w:ascii="Times New Roman" w:hAnsi="Times New Roman" w:cs="Times New Roman"/>
          <w:sz w:val="16"/>
          <w:szCs w:val="16"/>
        </w:rPr>
        <w:t>Zdroj: Prepočet Stálej pracovnej komisie Legislatívnej rady vlády SR</w:t>
      </w:r>
    </w:p>
    <w:p w14:paraId="6B9FA9C7" w14:textId="77777777" w:rsidR="00070D19" w:rsidRPr="00A33A28" w:rsidRDefault="00070D19" w:rsidP="00070D19">
      <w:pPr>
        <w:spacing w:after="0" w:line="240" w:lineRule="auto"/>
        <w:ind w:firstLine="708"/>
        <w:jc w:val="both"/>
        <w:rPr>
          <w:rFonts w:ascii="Times New Roman" w:hAnsi="Times New Roman" w:cs="Times New Roman"/>
          <w:sz w:val="24"/>
          <w:szCs w:val="24"/>
        </w:rPr>
      </w:pPr>
    </w:p>
    <w:p w14:paraId="6741359F" w14:textId="77777777" w:rsidR="00070D19" w:rsidRPr="00A33A28" w:rsidRDefault="00070D19" w:rsidP="00070D19">
      <w:pPr>
        <w:spacing w:after="0" w:line="240" w:lineRule="auto"/>
        <w:ind w:firstLine="708"/>
        <w:jc w:val="both"/>
        <w:rPr>
          <w:rFonts w:ascii="Times New Roman" w:hAnsi="Times New Roman" w:cs="Times New Roman"/>
          <w:sz w:val="24"/>
          <w:szCs w:val="24"/>
        </w:rPr>
      </w:pPr>
      <w:r w:rsidRPr="00A33A28">
        <w:rPr>
          <w:rFonts w:ascii="Times New Roman" w:hAnsi="Times New Roman" w:cs="Times New Roman"/>
          <w:sz w:val="24"/>
          <w:szCs w:val="24"/>
        </w:rPr>
        <w:lastRenderedPageBreak/>
        <w:t>Z celkového počtu vydaných stanovísk, 25 % bolo súhlasných (82), 33</w:t>
      </w:r>
      <w:r w:rsidRPr="00A33A28">
        <w:t xml:space="preserve"> </w:t>
      </w:r>
      <w:r w:rsidRPr="00A33A28">
        <w:rPr>
          <w:rFonts w:ascii="Times New Roman" w:hAnsi="Times New Roman" w:cs="Times New Roman"/>
          <w:sz w:val="24"/>
          <w:szCs w:val="24"/>
        </w:rPr>
        <w:t xml:space="preserve">% bolo súhlasných s pripomienkou (106) a 42 % bolo nesúhlasných (138). Dvom materiálom udelila Komisia RIA výnimku z procesu. </w:t>
      </w:r>
    </w:p>
    <w:p w14:paraId="4BB2F831" w14:textId="77777777" w:rsidR="00070D19" w:rsidRPr="00A33A28" w:rsidRDefault="00070D19" w:rsidP="00070D19">
      <w:pPr>
        <w:spacing w:after="0" w:line="240" w:lineRule="auto"/>
        <w:ind w:firstLine="708"/>
        <w:jc w:val="both"/>
        <w:rPr>
          <w:rFonts w:ascii="Times New Roman" w:hAnsi="Times New Roman" w:cs="Times New Roman"/>
          <w:sz w:val="24"/>
          <w:szCs w:val="24"/>
        </w:rPr>
      </w:pPr>
      <w:r w:rsidRPr="00A33A28">
        <w:rPr>
          <w:rFonts w:ascii="Times New Roman" w:hAnsi="Times New Roman" w:cs="Times New Roman"/>
          <w:sz w:val="24"/>
          <w:szCs w:val="24"/>
        </w:rPr>
        <w:t xml:space="preserve">Komisia RIA posudzovala 289 materiálov v predbežnom pripomienkovom konaní. </w:t>
      </w:r>
      <w:r w:rsidRPr="00A33A28">
        <w:rPr>
          <w:rFonts w:ascii="Times New Roman" w:hAnsi="Times New Roman" w:cs="Times New Roman"/>
          <w:sz w:val="24"/>
          <w:szCs w:val="24"/>
        </w:rPr>
        <w:br/>
        <w:t xml:space="preserve">Bolo k nim vydaných 67 súhlasných stanovísk, 95 súhlasných stanovísk s pripomienkou </w:t>
      </w:r>
      <w:r w:rsidRPr="00A33A28">
        <w:rPr>
          <w:rFonts w:ascii="Times New Roman" w:hAnsi="Times New Roman" w:cs="Times New Roman"/>
          <w:sz w:val="24"/>
          <w:szCs w:val="24"/>
        </w:rPr>
        <w:br/>
        <w:t xml:space="preserve">a 127 nesúhlasných stanovísk. </w:t>
      </w:r>
    </w:p>
    <w:p w14:paraId="2BE84B11" w14:textId="77777777" w:rsidR="00070D19" w:rsidRPr="00A33A28" w:rsidRDefault="00070D19" w:rsidP="00070D19">
      <w:pPr>
        <w:spacing w:after="0" w:line="240" w:lineRule="auto"/>
        <w:ind w:firstLine="708"/>
        <w:jc w:val="both"/>
        <w:rPr>
          <w:rFonts w:ascii="Times New Roman" w:hAnsi="Times New Roman" w:cs="Times New Roman"/>
          <w:sz w:val="24"/>
          <w:szCs w:val="24"/>
        </w:rPr>
      </w:pPr>
      <w:r w:rsidRPr="00A33A28">
        <w:rPr>
          <w:rFonts w:ascii="Times New Roman" w:hAnsi="Times New Roman" w:cs="Times New Roman"/>
          <w:sz w:val="24"/>
          <w:szCs w:val="24"/>
        </w:rPr>
        <w:t xml:space="preserve">Celkovo 35 materiálov bolo posudzovaných v záverečnom posúdení. Bolo k nim vydaných 13 súhlasných stanovísk, 11 súhlasných stanovísk s pripomienkou a 11 nesúhlasných stanovísk. </w:t>
      </w:r>
    </w:p>
    <w:p w14:paraId="099487CC" w14:textId="77777777" w:rsidR="00070D19" w:rsidRPr="00A33A28" w:rsidRDefault="00070D19" w:rsidP="00070D19">
      <w:pPr>
        <w:spacing w:after="0" w:line="240" w:lineRule="auto"/>
        <w:ind w:firstLine="708"/>
        <w:jc w:val="both"/>
        <w:rPr>
          <w:rFonts w:ascii="Times New Roman" w:hAnsi="Times New Roman" w:cs="Times New Roman"/>
          <w:sz w:val="24"/>
          <w:szCs w:val="24"/>
        </w:rPr>
      </w:pPr>
      <w:r w:rsidRPr="00A33A28">
        <w:rPr>
          <w:rFonts w:ascii="Times New Roman" w:hAnsi="Times New Roman" w:cs="Times New Roman"/>
          <w:sz w:val="24"/>
          <w:szCs w:val="24"/>
        </w:rPr>
        <w:t xml:space="preserve">V snahe o transparentnosť činnosti Komisie RIA a informovanie podnikateľov i verejnosti sú jej stanoviská v mesačnom intervale zverejňované na </w:t>
      </w:r>
      <w:hyperlink r:id="rId28" w:anchor="38;ids=148134&amp;" w:history="1">
        <w:r w:rsidRPr="00A33A28">
          <w:rPr>
            <w:rFonts w:ascii="Times New Roman" w:hAnsi="Times New Roman" w:cs="Times New Roman"/>
            <w:sz w:val="24"/>
            <w:szCs w:val="24"/>
          </w:rPr>
          <w:t>webovom</w:t>
        </w:r>
      </w:hyperlink>
      <w:r w:rsidRPr="00A33A28">
        <w:rPr>
          <w:rFonts w:ascii="Times New Roman" w:hAnsi="Times New Roman" w:cs="Times New Roman"/>
          <w:sz w:val="24"/>
          <w:szCs w:val="24"/>
        </w:rPr>
        <w:t xml:space="preserve"> sídle MH SR. Zverejňovaná je aj podrobná Výročná správa o činnosti Komisie RIA.</w:t>
      </w:r>
    </w:p>
    <w:p w14:paraId="222A4E90" w14:textId="77777777" w:rsidR="00070D19" w:rsidRPr="00A33A28" w:rsidRDefault="00070D19" w:rsidP="00070D19">
      <w:pPr>
        <w:spacing w:after="0" w:line="240" w:lineRule="auto"/>
        <w:jc w:val="both"/>
        <w:rPr>
          <w:rFonts w:ascii="Times New Roman" w:hAnsi="Times New Roman" w:cs="Times New Roman"/>
          <w:sz w:val="24"/>
          <w:szCs w:val="24"/>
        </w:rPr>
      </w:pPr>
    </w:p>
    <w:p w14:paraId="4C14BFA8" w14:textId="77777777" w:rsidR="00070D19" w:rsidRPr="00A33A28" w:rsidRDefault="00070D19" w:rsidP="00070D19">
      <w:pPr>
        <w:spacing w:after="0" w:line="240" w:lineRule="auto"/>
        <w:ind w:left="1985"/>
        <w:jc w:val="both"/>
        <w:rPr>
          <w:rFonts w:ascii="Times New Roman" w:hAnsi="Times New Roman" w:cs="Times New Roman"/>
          <w:sz w:val="24"/>
          <w:szCs w:val="24"/>
        </w:rPr>
      </w:pPr>
    </w:p>
    <w:p w14:paraId="53096599" w14:textId="77777777" w:rsidR="00070D19" w:rsidRPr="00A33A28" w:rsidRDefault="00070D19" w:rsidP="00070D19">
      <w:pPr>
        <w:spacing w:after="0" w:line="240" w:lineRule="auto"/>
        <w:ind w:left="1985" w:hanging="1985"/>
        <w:jc w:val="both"/>
        <w:rPr>
          <w:rFonts w:ascii="Times New Roman" w:hAnsi="Times New Roman" w:cs="Times New Roman"/>
          <w:sz w:val="24"/>
          <w:szCs w:val="24"/>
        </w:rPr>
      </w:pPr>
    </w:p>
    <w:p w14:paraId="2A8B890F" w14:textId="77777777" w:rsidR="00070D19" w:rsidRPr="00A33A28" w:rsidRDefault="00070D19" w:rsidP="00070D19">
      <w:pPr>
        <w:spacing w:after="0" w:line="240" w:lineRule="auto"/>
        <w:ind w:left="1985" w:hanging="1985"/>
        <w:jc w:val="both"/>
        <w:rPr>
          <w:rFonts w:ascii="Times New Roman" w:hAnsi="Times New Roman" w:cs="Times New Roman"/>
          <w:sz w:val="24"/>
          <w:szCs w:val="24"/>
        </w:rPr>
      </w:pPr>
    </w:p>
    <w:p w14:paraId="4615BC32" w14:textId="77777777" w:rsidR="00070D19" w:rsidRPr="00A33A28" w:rsidRDefault="00070D19" w:rsidP="00070D19">
      <w:pPr>
        <w:keepNext/>
        <w:spacing w:after="0" w:line="240" w:lineRule="auto"/>
        <w:outlineLvl w:val="2"/>
        <w:rPr>
          <w:rFonts w:ascii="Times New Roman" w:eastAsia="Times New Roman" w:hAnsi="Times New Roman" w:cs="Times New Roman"/>
          <w:sz w:val="24"/>
          <w:szCs w:val="24"/>
        </w:rPr>
        <w:sectPr w:rsidR="00070D19" w:rsidRPr="00A33A28" w:rsidSect="006765B2">
          <w:endnotePr>
            <w:numFmt w:val="decimal"/>
          </w:endnotePr>
          <w:pgSz w:w="11906" w:h="16838" w:code="9"/>
          <w:pgMar w:top="851" w:right="1416" w:bottom="709" w:left="1134" w:header="709" w:footer="255" w:gutter="0"/>
          <w:paperSrc w:first="15" w:other="15"/>
          <w:pgNumType w:start="21"/>
          <w:cols w:space="708"/>
          <w:titlePg/>
          <w:docGrid w:linePitch="360"/>
        </w:sectPr>
      </w:pPr>
    </w:p>
    <w:p w14:paraId="4AE1A966" w14:textId="77777777" w:rsidR="00070D19" w:rsidRPr="00A33A28" w:rsidRDefault="00070D19" w:rsidP="00070D19">
      <w:pPr>
        <w:spacing w:after="0" w:line="240" w:lineRule="auto"/>
        <w:jc w:val="both"/>
        <w:rPr>
          <w:rFonts w:ascii="Times New Roman" w:hAnsi="Times New Roman" w:cs="Times New Roman"/>
          <w:b/>
          <w:sz w:val="28"/>
          <w:szCs w:val="28"/>
        </w:rPr>
      </w:pPr>
      <w:r w:rsidRPr="00A33A28">
        <w:rPr>
          <w:rFonts w:ascii="Times New Roman" w:hAnsi="Times New Roman" w:cs="Times New Roman"/>
          <w:b/>
          <w:sz w:val="28"/>
          <w:szCs w:val="28"/>
        </w:rPr>
        <w:lastRenderedPageBreak/>
        <w:t>Záver</w:t>
      </w:r>
    </w:p>
    <w:p w14:paraId="4E2C82B9" w14:textId="77777777" w:rsidR="00070D19" w:rsidRPr="00A33A28" w:rsidRDefault="00070D19" w:rsidP="00070D19">
      <w:pPr>
        <w:spacing w:after="0" w:line="240" w:lineRule="auto"/>
        <w:contextualSpacing/>
        <w:jc w:val="both"/>
        <w:rPr>
          <w:rFonts w:ascii="Times New Roman" w:hAnsi="Times New Roman" w:cs="Times New Roman"/>
          <w:sz w:val="24"/>
        </w:rPr>
      </w:pPr>
      <w:r w:rsidRPr="00A33A28">
        <w:rPr>
          <w:rFonts w:ascii="Times New Roman" w:hAnsi="Times New Roman" w:cs="Times New Roman"/>
          <w:sz w:val="24"/>
        </w:rPr>
        <w:tab/>
      </w:r>
    </w:p>
    <w:p w14:paraId="1C9FD6CA" w14:textId="77777777" w:rsidR="00070D19" w:rsidRPr="00A33A28" w:rsidRDefault="00070D19" w:rsidP="00070D19">
      <w:pPr>
        <w:spacing w:after="0" w:line="240" w:lineRule="auto"/>
        <w:ind w:firstLine="709"/>
        <w:contextualSpacing/>
        <w:jc w:val="both"/>
        <w:rPr>
          <w:rFonts w:ascii="Times New Roman" w:hAnsi="Times New Roman" w:cs="Times New Roman"/>
          <w:color w:val="000000"/>
          <w:sz w:val="24"/>
          <w:szCs w:val="24"/>
        </w:rPr>
      </w:pPr>
      <w:r w:rsidRPr="00A33A28">
        <w:rPr>
          <w:rFonts w:ascii="Times New Roman" w:hAnsi="Times New Roman" w:cs="Times New Roman"/>
          <w:sz w:val="24"/>
        </w:rPr>
        <w:t xml:space="preserve">Podnikateľské prostredie na Slovensku prechádza neustálym vývojom. Kontinuálne zlepšovanie podmienok pre podnikateľov je v záujme vlády SR. Dôkazom toho je aj prvý </w:t>
      </w:r>
      <w:r w:rsidRPr="00A33A28">
        <w:rPr>
          <w:rFonts w:ascii="Times New Roman" w:hAnsi="Times New Roman" w:cs="Times New Roman"/>
          <w:sz w:val="24"/>
          <w:szCs w:val="24"/>
        </w:rPr>
        <w:t xml:space="preserve">balíček opatrení na zlepšenie podnikateľského prostredia. V nadväznosti na túto aktivitu sa nadviaže druhým </w:t>
      </w:r>
      <w:proofErr w:type="spellStart"/>
      <w:r w:rsidRPr="00A33A28">
        <w:rPr>
          <w:rFonts w:ascii="Times New Roman" w:hAnsi="Times New Roman" w:cs="Times New Roman"/>
          <w:sz w:val="24"/>
          <w:szCs w:val="24"/>
        </w:rPr>
        <w:t>antibyrokratickým</w:t>
      </w:r>
      <w:proofErr w:type="spellEnd"/>
      <w:r w:rsidRPr="00A33A28">
        <w:rPr>
          <w:rFonts w:ascii="Times New Roman" w:hAnsi="Times New Roman" w:cs="Times New Roman"/>
          <w:sz w:val="24"/>
          <w:szCs w:val="24"/>
        </w:rPr>
        <w:t xml:space="preserve"> balíčkom opatrení, na ktorom už </w:t>
      </w:r>
      <w:r w:rsidRPr="00A33A28">
        <w:rPr>
          <w:rFonts w:ascii="Times New Roman" w:hAnsi="Times New Roman" w:cs="Times New Roman"/>
          <w:color w:val="000000"/>
          <w:sz w:val="24"/>
          <w:szCs w:val="24"/>
        </w:rPr>
        <w:t xml:space="preserve">v tejto chvíli Ministerstvo hospodárstva SR aktívne pracuje. Pri jeho vypracovaní sa opierame o viac ako 150 podnetov, ktoré sme od podnikateľskej obce a iných ministerstiev dostali ako odpoveď na našu výzvu. </w:t>
      </w:r>
      <w:r w:rsidRPr="00A33A28">
        <w:rPr>
          <w:rFonts w:ascii="Times New Roman" w:hAnsi="Times New Roman" w:cs="Times New Roman"/>
          <w:sz w:val="24"/>
          <w:szCs w:val="24"/>
        </w:rPr>
        <w:t xml:space="preserve">Balíček bude obsahovať podobne ako predchádzajúci balíček opatrenia z rôznych oblastí. Okrem toho sa v pripravovanom balíčku bude reagovať aj na najnovšie výsledky ankety Byrokratický nezmysel za rok 2017. </w:t>
      </w:r>
      <w:r w:rsidRPr="00A33A28">
        <w:rPr>
          <w:rFonts w:ascii="Times New Roman" w:hAnsi="Times New Roman" w:cs="Times New Roman"/>
          <w:color w:val="000000"/>
          <w:sz w:val="24"/>
          <w:szCs w:val="24"/>
        </w:rPr>
        <w:t xml:space="preserve">Balíček plánuje rezort predložiť na rokovanie vlády SR v priebehu 2. štvrťroka 2018. Bude pokrývať predovšetkým oblasti elektronizácie, zjednodušovania procesov či získavania povolení a znižovanie byrokracie. </w:t>
      </w:r>
    </w:p>
    <w:p w14:paraId="3AFFC638" w14:textId="77777777" w:rsidR="00070D19" w:rsidRPr="00A33A28" w:rsidRDefault="00070D19" w:rsidP="00070D19">
      <w:pPr>
        <w:spacing w:after="0" w:line="240" w:lineRule="auto"/>
        <w:ind w:firstLine="708"/>
        <w:contextualSpacing/>
        <w:jc w:val="both"/>
        <w:rPr>
          <w:rFonts w:ascii="Times New Roman" w:hAnsi="Times New Roman" w:cs="Times New Roman"/>
          <w:sz w:val="24"/>
          <w:szCs w:val="24"/>
        </w:rPr>
      </w:pPr>
    </w:p>
    <w:p w14:paraId="01642D16" w14:textId="77777777" w:rsidR="00070D19" w:rsidRPr="00A33A28" w:rsidRDefault="00070D19" w:rsidP="00070D19">
      <w:pPr>
        <w:spacing w:after="0" w:line="240" w:lineRule="auto"/>
        <w:ind w:firstLine="709"/>
        <w:contextualSpacing/>
        <w:jc w:val="both"/>
        <w:rPr>
          <w:rFonts w:ascii="Times New Roman" w:hAnsi="Times New Roman"/>
          <w:sz w:val="24"/>
        </w:rPr>
      </w:pPr>
      <w:r w:rsidRPr="00A33A28">
        <w:rPr>
          <w:rFonts w:ascii="Times New Roman" w:hAnsi="Times New Roman"/>
          <w:sz w:val="24"/>
        </w:rPr>
        <w:t xml:space="preserve">Ďalším dôležitým momentom na zlepšenie postavenia podnikateľov bolo schválenie zákona č. 290/2016 Z. z. o podpore malého a stredného podnikania a o zmene a doplnení zákona č. 71/2013 Z. z. o poskytovaní dotácií v pôsobnosti MH SR v znení neskorších predpisov. Tento zákon umožnil MH SR od 01.01.2017 v zákonom vymedzených oblastiach podpory poskytnúť podporu priamou formou ako nenávratný finančný príspevok, či dotáciu, alebo iný finančný nástroj podľa osobitného predpisu - európske investičné a štrukturálne fondy, alebo nepriamou formou ako podanie informácie a  poskytnutie poradenstva, vzdelávanie, </w:t>
      </w:r>
      <w:proofErr w:type="spellStart"/>
      <w:r w:rsidRPr="00A33A28">
        <w:rPr>
          <w:rFonts w:ascii="Times New Roman" w:hAnsi="Times New Roman"/>
          <w:sz w:val="24"/>
        </w:rPr>
        <w:t>voucher</w:t>
      </w:r>
      <w:proofErr w:type="spellEnd"/>
      <w:r w:rsidRPr="00A33A28">
        <w:rPr>
          <w:rFonts w:ascii="Times New Roman" w:hAnsi="Times New Roman"/>
          <w:sz w:val="24"/>
        </w:rPr>
        <w:t xml:space="preserve">, koučing, </w:t>
      </w:r>
      <w:proofErr w:type="spellStart"/>
      <w:r w:rsidRPr="00A33A28">
        <w:rPr>
          <w:rFonts w:ascii="Times New Roman" w:hAnsi="Times New Roman"/>
          <w:sz w:val="24"/>
        </w:rPr>
        <w:t>mentoring</w:t>
      </w:r>
      <w:proofErr w:type="spellEnd"/>
      <w:r w:rsidRPr="00A33A28">
        <w:rPr>
          <w:rFonts w:ascii="Times New Roman" w:hAnsi="Times New Roman"/>
          <w:sz w:val="24"/>
        </w:rPr>
        <w:t xml:space="preserve"> a lepšiu reguláciu. </w:t>
      </w:r>
    </w:p>
    <w:p w14:paraId="7B225731" w14:textId="77777777" w:rsidR="00070D19" w:rsidRPr="00A33A28" w:rsidRDefault="00070D19" w:rsidP="00070D19">
      <w:pPr>
        <w:spacing w:after="0" w:line="240" w:lineRule="auto"/>
        <w:ind w:firstLine="709"/>
        <w:contextualSpacing/>
        <w:jc w:val="both"/>
        <w:rPr>
          <w:rFonts w:ascii="Times New Roman" w:hAnsi="Times New Roman" w:cs="Times New Roman"/>
          <w:sz w:val="24"/>
          <w:szCs w:val="24"/>
        </w:rPr>
      </w:pPr>
    </w:p>
    <w:p w14:paraId="6F77E776" w14:textId="77777777" w:rsidR="00070D19" w:rsidRPr="00A33A28" w:rsidRDefault="00070D19" w:rsidP="00070D19">
      <w:pPr>
        <w:spacing w:after="0" w:line="240" w:lineRule="auto"/>
        <w:ind w:firstLine="709"/>
        <w:contextualSpacing/>
        <w:jc w:val="both"/>
        <w:rPr>
          <w:rFonts w:ascii="Times New Roman" w:hAnsi="Times New Roman" w:cs="Times New Roman"/>
          <w:color w:val="000000"/>
          <w:sz w:val="24"/>
          <w:szCs w:val="24"/>
        </w:rPr>
      </w:pPr>
      <w:r w:rsidRPr="00A33A28">
        <w:rPr>
          <w:rFonts w:ascii="Times New Roman" w:hAnsi="Times New Roman" w:cs="Times New Roman"/>
          <w:color w:val="000000"/>
          <w:sz w:val="24"/>
          <w:szCs w:val="24"/>
        </w:rPr>
        <w:t xml:space="preserve">Ak však chceme dosiahnuť viditeľné výsledky v rámci medzinárodných hodnotení, </w:t>
      </w:r>
      <w:r w:rsidRPr="00A33A28">
        <w:rPr>
          <w:rFonts w:ascii="Times New Roman" w:hAnsi="Times New Roman" w:cs="Times New Roman"/>
          <w:color w:val="000000"/>
          <w:sz w:val="24"/>
          <w:szCs w:val="24"/>
        </w:rPr>
        <w:br/>
        <w:t>je potrebné zlepšovať podnikateľské prostredie výraznejšie a razantnejšie. Dôvodom je fakt,</w:t>
      </w:r>
      <w:r w:rsidRPr="00A33A28">
        <w:rPr>
          <w:rFonts w:ascii="Times New Roman" w:hAnsi="Times New Roman" w:cs="Times New Roman"/>
          <w:color w:val="000000"/>
          <w:sz w:val="24"/>
          <w:szCs w:val="24"/>
        </w:rPr>
        <w:br/>
        <w:t xml:space="preserve">že všetky štáty zlepšujú prostredie pre podnikateľov a prijímajú opatrenia, ktoré sú v konečnom dôsledku </w:t>
      </w:r>
      <w:r w:rsidRPr="00A33A28">
        <w:rPr>
          <w:rFonts w:ascii="Times New Roman" w:hAnsi="Times New Roman" w:cs="Times New Roman"/>
          <w:sz w:val="24"/>
          <w:szCs w:val="24"/>
        </w:rPr>
        <w:t xml:space="preserve">rozhodujúce pre ich postavenie. V tejto súvislosti sa vyžaduje aktívny prístup ústredných orgánov štátnej správy, ako aj zvýšený záujem riešiť podnikateľské prostredie systémovo. </w:t>
      </w:r>
    </w:p>
    <w:p w14:paraId="65F79E90" w14:textId="77777777" w:rsidR="00070D19" w:rsidRPr="00A33A28" w:rsidRDefault="00070D19" w:rsidP="00070D19">
      <w:pPr>
        <w:spacing w:after="0" w:line="240" w:lineRule="auto"/>
        <w:ind w:firstLine="709"/>
        <w:contextualSpacing/>
        <w:jc w:val="both"/>
        <w:rPr>
          <w:rFonts w:ascii="Times New Roman" w:hAnsi="Times New Roman" w:cs="Times New Roman"/>
          <w:color w:val="000000"/>
          <w:sz w:val="24"/>
          <w:szCs w:val="24"/>
        </w:rPr>
      </w:pPr>
    </w:p>
    <w:p w14:paraId="678AEE86" w14:textId="77777777" w:rsidR="00070D19" w:rsidRPr="00A33A28" w:rsidRDefault="00070D19" w:rsidP="00070D19">
      <w:pPr>
        <w:spacing w:after="0" w:line="240" w:lineRule="auto"/>
        <w:ind w:firstLine="709"/>
        <w:jc w:val="both"/>
        <w:rPr>
          <w:rFonts w:ascii="Times New Roman" w:hAnsi="Times New Roman" w:cs="Times New Roman"/>
          <w:sz w:val="24"/>
          <w:szCs w:val="24"/>
        </w:rPr>
      </w:pPr>
      <w:r w:rsidRPr="00A33A28">
        <w:rPr>
          <w:rFonts w:ascii="Times New Roman" w:hAnsi="Times New Roman" w:cs="Times New Roman"/>
          <w:sz w:val="24"/>
          <w:szCs w:val="24"/>
        </w:rPr>
        <w:t xml:space="preserve">Dôležité je reagovať aj na regulácie mimo slovenského prostredia, pretože významná časť regulácií účinných na Slovensku má pôvod v európskej legislatíve, </w:t>
      </w:r>
      <w:r w:rsidRPr="00A33A28">
        <w:rPr>
          <w:rFonts w:ascii="Times New Roman" w:hAnsi="Times New Roman" w:cs="Times New Roman"/>
          <w:sz w:val="24"/>
          <w:szCs w:val="24"/>
        </w:rPr>
        <w:br/>
        <w:t xml:space="preserve">v medzinárodných dohovoroch a požiadavkách a odporúčaniach medzinárodných </w:t>
      </w:r>
      <w:r w:rsidRPr="00A33A28">
        <w:rPr>
          <w:rFonts w:ascii="Times New Roman" w:hAnsi="Times New Roman" w:cs="Times New Roman"/>
          <w:sz w:val="24"/>
          <w:szCs w:val="24"/>
        </w:rPr>
        <w:br/>
        <w:t xml:space="preserve">a medzivládnych organizácií a ďalších spoločenstiev. Je preto nevyhnutné, aby na tieto regulácie bezúčelne nenadväzovali dodatočné povinnosti, ktoré na dosiahnutie ich cieľa nie sú potrebné. </w:t>
      </w:r>
      <w:r w:rsidRPr="00A33A28">
        <w:rPr>
          <w:rFonts w:ascii="Times New Roman" w:hAnsi="Times New Roman" w:cs="Times New Roman"/>
          <w:sz w:val="24"/>
          <w:szCs w:val="24"/>
        </w:rPr>
        <w:br/>
        <w:t>V tomto prípade hovoríme o medzinárodne známom efekte prijímania regulácií nad rámec vyžadovaných, takzvanom „</w:t>
      </w:r>
      <w:proofErr w:type="spellStart"/>
      <w:r w:rsidRPr="00A33A28">
        <w:rPr>
          <w:rFonts w:ascii="Times New Roman" w:hAnsi="Times New Roman" w:cs="Times New Roman"/>
          <w:sz w:val="24"/>
          <w:szCs w:val="24"/>
        </w:rPr>
        <w:t>goldplatingu</w:t>
      </w:r>
      <w:proofErr w:type="spellEnd"/>
      <w:r w:rsidRPr="00A33A28">
        <w:rPr>
          <w:rFonts w:ascii="Times New Roman" w:hAnsi="Times New Roman" w:cs="Times New Roman"/>
          <w:sz w:val="24"/>
          <w:szCs w:val="24"/>
        </w:rPr>
        <w:t xml:space="preserve">“. MH SR sa  rozhodlo k tejto problematike pristupovať systematicky a komplexne už v materiáli RIA 2020 – Stratégia lepšej regulácie a preto bude v roku 2018 tejto téme venovať zvýšenú pozornosť, ktorej výsledkom bude metodika vyhodnocovania </w:t>
      </w:r>
      <w:proofErr w:type="spellStart"/>
      <w:r w:rsidRPr="00A33A28">
        <w:rPr>
          <w:rFonts w:ascii="Times New Roman" w:hAnsi="Times New Roman" w:cs="Times New Roman"/>
          <w:sz w:val="24"/>
          <w:szCs w:val="24"/>
        </w:rPr>
        <w:t>goldplatingu</w:t>
      </w:r>
      <w:proofErr w:type="spellEnd"/>
      <w:r w:rsidRPr="00A33A28">
        <w:rPr>
          <w:rFonts w:ascii="Times New Roman" w:hAnsi="Times New Roman" w:cs="Times New Roman"/>
          <w:sz w:val="24"/>
          <w:szCs w:val="24"/>
        </w:rPr>
        <w:t>, ktorej uplatňovanie bude vyústením aktivít MH SR na zamedzenie neopodstatnenej záťaže pre podnikateľov vyplývajúcej z tohto javu aj v budúcnosti.</w:t>
      </w:r>
    </w:p>
    <w:p w14:paraId="57ED8051" w14:textId="77777777" w:rsidR="00070D19" w:rsidRPr="00A33A28" w:rsidRDefault="00070D19" w:rsidP="00070D19">
      <w:pPr>
        <w:spacing w:after="0" w:line="240" w:lineRule="auto"/>
        <w:ind w:firstLine="709"/>
        <w:jc w:val="both"/>
        <w:rPr>
          <w:rFonts w:ascii="Times New Roman" w:hAnsi="Times New Roman" w:cs="Times New Roman"/>
          <w:sz w:val="24"/>
          <w:szCs w:val="24"/>
        </w:rPr>
      </w:pPr>
    </w:p>
    <w:p w14:paraId="4D608402" w14:textId="77777777" w:rsidR="00070D19" w:rsidRPr="00A33A28" w:rsidRDefault="00070D19" w:rsidP="00070D19">
      <w:pPr>
        <w:spacing w:after="0" w:line="240" w:lineRule="auto"/>
        <w:ind w:firstLine="709"/>
        <w:jc w:val="both"/>
        <w:rPr>
          <w:rFonts w:ascii="Times New Roman" w:hAnsi="Times New Roman" w:cs="Times New Roman"/>
          <w:sz w:val="24"/>
          <w:szCs w:val="24"/>
        </w:rPr>
      </w:pPr>
    </w:p>
    <w:p w14:paraId="0AB51FBD" w14:textId="77777777" w:rsidR="00070D19" w:rsidRPr="00A33A28" w:rsidRDefault="00070D19" w:rsidP="00070D19">
      <w:pPr>
        <w:spacing w:after="0" w:line="240" w:lineRule="auto"/>
        <w:ind w:firstLine="709"/>
        <w:jc w:val="both"/>
        <w:rPr>
          <w:rFonts w:ascii="Times New Roman" w:hAnsi="Times New Roman" w:cs="Times New Roman"/>
          <w:sz w:val="24"/>
          <w:szCs w:val="24"/>
        </w:rPr>
      </w:pPr>
    </w:p>
    <w:p w14:paraId="618F556C" w14:textId="77777777" w:rsidR="00070D19" w:rsidRPr="00A33A28" w:rsidRDefault="00070D19" w:rsidP="00070D19">
      <w:pPr>
        <w:spacing w:after="0" w:line="240" w:lineRule="auto"/>
        <w:ind w:firstLine="709"/>
        <w:jc w:val="both"/>
        <w:rPr>
          <w:rFonts w:ascii="Times New Roman" w:hAnsi="Times New Roman" w:cs="Times New Roman"/>
          <w:sz w:val="24"/>
          <w:szCs w:val="24"/>
        </w:rPr>
      </w:pPr>
    </w:p>
    <w:p w14:paraId="52CD002D" w14:textId="77777777" w:rsidR="00070D19" w:rsidRPr="00A33A28" w:rsidRDefault="00070D19" w:rsidP="00070D19">
      <w:pPr>
        <w:spacing w:after="0" w:line="240" w:lineRule="auto"/>
        <w:ind w:firstLine="709"/>
        <w:jc w:val="both"/>
        <w:rPr>
          <w:rFonts w:ascii="Times New Roman" w:hAnsi="Times New Roman" w:cs="Times New Roman"/>
          <w:sz w:val="24"/>
          <w:szCs w:val="24"/>
        </w:rPr>
      </w:pPr>
    </w:p>
    <w:p w14:paraId="1D8CA66D" w14:textId="77777777" w:rsidR="00070D19" w:rsidRPr="00A33A28" w:rsidRDefault="00070D19" w:rsidP="00070D19">
      <w:pPr>
        <w:spacing w:after="0" w:line="240" w:lineRule="auto"/>
        <w:ind w:firstLine="709"/>
        <w:jc w:val="both"/>
        <w:rPr>
          <w:rFonts w:ascii="Times New Roman" w:hAnsi="Times New Roman" w:cs="Times New Roman"/>
          <w:sz w:val="24"/>
          <w:szCs w:val="24"/>
        </w:rPr>
      </w:pPr>
    </w:p>
    <w:p w14:paraId="37D9628A" w14:textId="77777777" w:rsidR="00070D19" w:rsidRPr="00A33A28" w:rsidRDefault="00070D19" w:rsidP="00070D19"/>
    <w:p w14:paraId="416287C9" w14:textId="77777777" w:rsidR="001D66DE" w:rsidRPr="00070D19" w:rsidRDefault="001D66DE" w:rsidP="00070D19"/>
    <w:sectPr w:rsidR="001D66DE" w:rsidRPr="00070D19" w:rsidSect="001D66DE">
      <w:footerReference w:type="default" r:id="rId29"/>
      <w:endnotePr>
        <w:numFmt w:val="decimal"/>
      </w:endnotePr>
      <w:pgSz w:w="11906" w:h="16838" w:code="9"/>
      <w:pgMar w:top="851" w:right="1416" w:bottom="851" w:left="1134" w:header="709" w:footer="255" w:gutter="0"/>
      <w:paperSrc w:first="15" w:other="15"/>
      <w:pgNumType w:start="1"/>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EAFE6E" w16cid:durableId="1E500E7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D681D0" w14:textId="77777777" w:rsidR="006765B2" w:rsidRDefault="006765B2">
      <w:pPr>
        <w:spacing w:after="0" w:line="240" w:lineRule="auto"/>
      </w:pPr>
      <w:r>
        <w:separator/>
      </w:r>
    </w:p>
  </w:endnote>
  <w:endnote w:type="continuationSeparator" w:id="0">
    <w:p w14:paraId="27A536F5" w14:textId="77777777" w:rsidR="006765B2" w:rsidRDefault="006765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altName w:val="Century Gothic"/>
    <w:panose1 w:val="020B0606020202030204"/>
    <w:charset w:val="EE"/>
    <w:family w:val="swiss"/>
    <w:pitch w:val="variable"/>
    <w:sig w:usb0="00000287" w:usb1="000008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DBFEA" w14:textId="7D4F7BE9" w:rsidR="006765B2" w:rsidRPr="006765B2" w:rsidRDefault="006765B2">
    <w:pPr>
      <w:pStyle w:val="Pta"/>
      <w:jc w:val="right"/>
      <w:rPr>
        <w:rFonts w:ascii="Times New Roman" w:hAnsi="Times New Roman" w:cs="Times New Roman"/>
        <w:sz w:val="24"/>
        <w:szCs w:val="24"/>
      </w:rPr>
    </w:pPr>
  </w:p>
  <w:p w14:paraId="28AB5DE4" w14:textId="77777777" w:rsidR="006765B2" w:rsidRPr="006765B2" w:rsidRDefault="006765B2" w:rsidP="007406BE">
    <w:pPr>
      <w:pStyle w:val="Pta"/>
      <w:jc w:val="right"/>
      <w:rPr>
        <w:rFonts w:ascii="Times New Roman" w:hAnsi="Times New Roman" w:cs="Times New Roman"/>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07865323"/>
      <w:docPartObj>
        <w:docPartGallery w:val="Page Numbers (Bottom of Page)"/>
        <w:docPartUnique/>
      </w:docPartObj>
    </w:sdtPr>
    <w:sdtContent>
      <w:p w14:paraId="6D867ABF" w14:textId="44EDA1A1" w:rsidR="00506C08" w:rsidRDefault="00506C08">
        <w:pPr>
          <w:pStyle w:val="Pta"/>
          <w:jc w:val="right"/>
        </w:pPr>
        <w:r>
          <w:fldChar w:fldCharType="begin"/>
        </w:r>
        <w:r>
          <w:instrText>PAGE   \* MERGEFORMAT</w:instrText>
        </w:r>
        <w:r>
          <w:fldChar w:fldCharType="separate"/>
        </w:r>
        <w:r>
          <w:rPr>
            <w:noProof/>
          </w:rPr>
          <w:t>1</w:t>
        </w:r>
        <w:r>
          <w:fldChar w:fldCharType="end"/>
        </w:r>
      </w:p>
    </w:sdtContent>
  </w:sdt>
  <w:p w14:paraId="565E4598" w14:textId="01211746" w:rsidR="006765B2" w:rsidRPr="00506C08" w:rsidRDefault="006765B2" w:rsidP="00506C08">
    <w:pPr>
      <w:pStyle w:val="Pt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859325"/>
      <w:docPartObj>
        <w:docPartGallery w:val="Page Numbers (Bottom of Page)"/>
        <w:docPartUnique/>
      </w:docPartObj>
    </w:sdtPr>
    <w:sdtContent>
      <w:p w14:paraId="478426E2" w14:textId="3E71AACD" w:rsidR="00506C08" w:rsidRDefault="00506C08">
        <w:pPr>
          <w:pStyle w:val="Pta"/>
          <w:jc w:val="right"/>
        </w:pPr>
      </w:p>
    </w:sdtContent>
  </w:sdt>
  <w:p w14:paraId="33D4839E" w14:textId="77777777" w:rsidR="00506C08" w:rsidRPr="00506C08" w:rsidRDefault="00506C08" w:rsidP="00506C08">
    <w:pPr>
      <w:pStyle w:val="Pt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67D35C" w14:textId="77777777" w:rsidR="00506C08" w:rsidRPr="00506C08" w:rsidRDefault="00506C08" w:rsidP="00506C08">
    <w:pPr>
      <w:pStyle w:val="Pta"/>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267B7" w14:textId="77777777" w:rsidR="00506C08" w:rsidRPr="00506C08" w:rsidRDefault="00506C08" w:rsidP="00506C08">
    <w:pPr>
      <w:pStyle w:val="Pta"/>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843595920"/>
      <w:docPartObj>
        <w:docPartGallery w:val="Page Numbers (Bottom of Page)"/>
        <w:docPartUnique/>
      </w:docPartObj>
    </w:sdtPr>
    <w:sdtContent>
      <w:p w14:paraId="692E0FBF" w14:textId="584E2BFA" w:rsidR="00506C08" w:rsidRPr="00506C08" w:rsidRDefault="00506C08">
        <w:pPr>
          <w:pStyle w:val="Pta"/>
          <w:jc w:val="right"/>
          <w:rPr>
            <w:rFonts w:ascii="Times New Roman" w:hAnsi="Times New Roman" w:cs="Times New Roman"/>
            <w:sz w:val="24"/>
            <w:szCs w:val="24"/>
          </w:rPr>
        </w:pPr>
        <w:r w:rsidRPr="00506C08">
          <w:rPr>
            <w:rFonts w:ascii="Times New Roman" w:hAnsi="Times New Roman" w:cs="Times New Roman"/>
            <w:sz w:val="24"/>
            <w:szCs w:val="24"/>
          </w:rPr>
          <w:fldChar w:fldCharType="begin"/>
        </w:r>
        <w:r w:rsidRPr="00506C08">
          <w:rPr>
            <w:rFonts w:ascii="Times New Roman" w:hAnsi="Times New Roman" w:cs="Times New Roman"/>
            <w:sz w:val="24"/>
            <w:szCs w:val="24"/>
          </w:rPr>
          <w:instrText>PAGE   \* MERGEFORMAT</w:instrText>
        </w:r>
        <w:r w:rsidRPr="00506C08">
          <w:rPr>
            <w:rFonts w:ascii="Times New Roman" w:hAnsi="Times New Roman" w:cs="Times New Roman"/>
            <w:sz w:val="24"/>
            <w:szCs w:val="24"/>
          </w:rPr>
          <w:fldChar w:fldCharType="separate"/>
        </w:r>
        <w:r w:rsidR="00AA1377">
          <w:rPr>
            <w:rFonts w:ascii="Times New Roman" w:hAnsi="Times New Roman" w:cs="Times New Roman"/>
            <w:noProof/>
            <w:sz w:val="24"/>
            <w:szCs w:val="24"/>
          </w:rPr>
          <w:t>2</w:t>
        </w:r>
        <w:r w:rsidRPr="00506C08">
          <w:rPr>
            <w:rFonts w:ascii="Times New Roman" w:hAnsi="Times New Roman" w:cs="Times New Roman"/>
            <w:sz w:val="24"/>
            <w:szCs w:val="24"/>
          </w:rPr>
          <w:fldChar w:fldCharType="end"/>
        </w:r>
      </w:p>
    </w:sdtContent>
  </w:sdt>
  <w:p w14:paraId="71E90E1E" w14:textId="77777777" w:rsidR="00506C08" w:rsidRPr="00506C08" w:rsidRDefault="00506C08" w:rsidP="00506C08">
    <w:pPr>
      <w:pStyle w:val="Pta"/>
      <w:rPr>
        <w:rFonts w:ascii="Times New Roman" w:hAnsi="Times New Roman" w:cs="Times New Roman"/>
        <w:sz w:val="24"/>
        <w:szCs w:val="24"/>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szCs w:val="24"/>
      </w:rPr>
      <w:id w:val="26070100"/>
      <w:docPartObj>
        <w:docPartGallery w:val="Page Numbers (Bottom of Page)"/>
        <w:docPartUnique/>
      </w:docPartObj>
    </w:sdtPr>
    <w:sdtContent>
      <w:p w14:paraId="6A3FD9B1" w14:textId="53857CE7" w:rsidR="00506C08" w:rsidRPr="00506C08" w:rsidRDefault="00506C08">
        <w:pPr>
          <w:pStyle w:val="Pta"/>
          <w:jc w:val="right"/>
          <w:rPr>
            <w:rFonts w:ascii="Times New Roman" w:hAnsi="Times New Roman" w:cs="Times New Roman"/>
            <w:sz w:val="24"/>
            <w:szCs w:val="24"/>
          </w:rPr>
        </w:pPr>
        <w:r w:rsidRPr="00506C08">
          <w:rPr>
            <w:rFonts w:ascii="Times New Roman" w:hAnsi="Times New Roman" w:cs="Times New Roman"/>
            <w:sz w:val="24"/>
            <w:szCs w:val="24"/>
          </w:rPr>
          <w:fldChar w:fldCharType="begin"/>
        </w:r>
        <w:r w:rsidRPr="00506C08">
          <w:rPr>
            <w:rFonts w:ascii="Times New Roman" w:hAnsi="Times New Roman" w:cs="Times New Roman"/>
            <w:sz w:val="24"/>
            <w:szCs w:val="24"/>
          </w:rPr>
          <w:instrText>PAGE   \* MERGEFORMAT</w:instrText>
        </w:r>
        <w:r w:rsidRPr="00506C08">
          <w:rPr>
            <w:rFonts w:ascii="Times New Roman" w:hAnsi="Times New Roman" w:cs="Times New Roman"/>
            <w:sz w:val="24"/>
            <w:szCs w:val="24"/>
          </w:rPr>
          <w:fldChar w:fldCharType="separate"/>
        </w:r>
        <w:r w:rsidR="00AA1377">
          <w:rPr>
            <w:rFonts w:ascii="Times New Roman" w:hAnsi="Times New Roman" w:cs="Times New Roman"/>
            <w:noProof/>
            <w:sz w:val="24"/>
            <w:szCs w:val="24"/>
          </w:rPr>
          <w:t>17</w:t>
        </w:r>
        <w:r w:rsidRPr="00506C08">
          <w:rPr>
            <w:rFonts w:ascii="Times New Roman" w:hAnsi="Times New Roman" w:cs="Times New Roman"/>
            <w:sz w:val="24"/>
            <w:szCs w:val="24"/>
          </w:rPr>
          <w:fldChar w:fldCharType="end"/>
        </w:r>
      </w:p>
    </w:sdtContent>
  </w:sdt>
  <w:p w14:paraId="07FEA1BC" w14:textId="77777777" w:rsidR="00506C08" w:rsidRPr="00506C08" w:rsidRDefault="00506C08" w:rsidP="007406BE">
    <w:pPr>
      <w:pStyle w:val="Pta"/>
      <w:jc w:val="right"/>
      <w:rPr>
        <w:rFonts w:ascii="Times New Roman" w:hAnsi="Times New Roman" w:cs="Times New Roman"/>
        <w:sz w:val="24"/>
        <w:szCs w:val="24"/>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C1699" w14:textId="77777777" w:rsidR="006765B2" w:rsidRPr="00C858AA" w:rsidRDefault="006765B2" w:rsidP="00E00B24">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DA78C9" w14:textId="77777777" w:rsidR="006765B2" w:rsidRDefault="006765B2">
      <w:pPr>
        <w:spacing w:after="0" w:line="240" w:lineRule="auto"/>
      </w:pPr>
      <w:r>
        <w:separator/>
      </w:r>
    </w:p>
  </w:footnote>
  <w:footnote w:type="continuationSeparator" w:id="0">
    <w:p w14:paraId="50436558" w14:textId="77777777" w:rsidR="006765B2" w:rsidRDefault="006765B2">
      <w:pPr>
        <w:spacing w:after="0" w:line="240" w:lineRule="auto"/>
      </w:pPr>
      <w:r>
        <w:continuationSeparator/>
      </w:r>
    </w:p>
  </w:footnote>
  <w:footnote w:id="1">
    <w:p w14:paraId="5A30AD3F" w14:textId="77777777" w:rsidR="006765B2" w:rsidRPr="00A33A28" w:rsidRDefault="006765B2" w:rsidP="00070D19">
      <w:pPr>
        <w:pStyle w:val="Textpoznmkypodiarou"/>
        <w:rPr>
          <w:rFonts w:ascii="Times New Roman" w:hAnsi="Times New Roman" w:cs="Times New Roman"/>
        </w:rPr>
      </w:pPr>
      <w:r w:rsidRPr="00A33A28">
        <w:rPr>
          <w:rStyle w:val="Odkaznapoznmkupodiarou"/>
        </w:rPr>
        <w:footnoteRef/>
      </w:r>
      <w:r w:rsidRPr="00A33A28">
        <w:rPr>
          <w:rFonts w:ascii="Times New Roman" w:hAnsi="Times New Roman" w:cs="Times New Roman"/>
        </w:rPr>
        <w:t xml:space="preserve"> Údaj pre rok 2017 - EU28 je za 4 kvartál roku 2017, ktorý publikoval </w:t>
      </w:r>
      <w:proofErr w:type="spellStart"/>
      <w:r w:rsidRPr="00A33A28">
        <w:rPr>
          <w:rFonts w:ascii="Times New Roman" w:hAnsi="Times New Roman" w:cs="Times New Roman"/>
        </w:rPr>
        <w:t>Eurostat</w:t>
      </w:r>
      <w:proofErr w:type="spellEnd"/>
      <w:r w:rsidRPr="00A33A28">
        <w:rPr>
          <w:rFonts w:ascii="Times New Roman" w:hAnsi="Times New Roman" w:cs="Times New Roman"/>
        </w:rPr>
        <w:t xml:space="preserve"> dňa 7. marca 2018. </w:t>
      </w:r>
    </w:p>
  </w:footnote>
  <w:footnote w:id="2">
    <w:p w14:paraId="187341DA" w14:textId="77777777" w:rsidR="006765B2" w:rsidRPr="00A33A28" w:rsidRDefault="006765B2" w:rsidP="00070D19">
      <w:pPr>
        <w:pStyle w:val="Textpoznmkypodiarou"/>
        <w:rPr>
          <w:rFonts w:ascii="Times New Roman" w:hAnsi="Times New Roman" w:cs="Times New Roman"/>
        </w:rPr>
      </w:pPr>
      <w:r w:rsidRPr="00A33A28">
        <w:rPr>
          <w:rStyle w:val="Odkaznapoznmkupodiarou"/>
        </w:rPr>
        <w:footnoteRef/>
      </w:r>
      <w:r w:rsidRPr="00A33A28">
        <w:rPr>
          <w:rFonts w:ascii="Times New Roman" w:hAnsi="Times New Roman" w:cs="Times New Roman"/>
        </w:rPr>
        <w:t xml:space="preserve"> </w:t>
      </w:r>
      <w:r w:rsidRPr="00A33A28">
        <w:rPr>
          <w:rFonts w:ascii="Times New Roman" w:hAnsi="Times New Roman" w:cs="Times New Roman"/>
        </w:rPr>
        <w:t>http://datacube.statistics.sk/#!/view/sk/VBD_SK_WIN/pr3105qr/Kr%C3%A1tkodob%C3%A1%20migr%C3%A1cia%20za%20pr%C3%</w:t>
      </w:r>
      <w:r w:rsidRPr="00A33A28">
        <w:rPr>
          <w:rFonts w:ascii="Times New Roman" w:hAnsi="Times New Roman" w:cs="Times New Roman"/>
        </w:rPr>
        <w:br/>
        <w:t xml:space="preserve">A1cou%20do%20zahrani%C4%8Dia%20%5Bpr3105qr%5D </w:t>
      </w:r>
    </w:p>
  </w:footnote>
  <w:footnote w:id="3">
    <w:p w14:paraId="18B1F442" w14:textId="77777777" w:rsidR="006765B2" w:rsidRPr="00A33A28" w:rsidRDefault="006765B2" w:rsidP="00070D19">
      <w:pPr>
        <w:pStyle w:val="Textpoznmkypodiarou"/>
        <w:rPr>
          <w:rFonts w:ascii="Times New Roman" w:hAnsi="Times New Roman" w:cs="Times New Roman"/>
        </w:rPr>
      </w:pPr>
      <w:r w:rsidRPr="00A33A28">
        <w:rPr>
          <w:rStyle w:val="Odkaznapoznmkupodiarou"/>
        </w:rPr>
        <w:footnoteRef/>
      </w:r>
      <w:r w:rsidRPr="00A33A28">
        <w:rPr>
          <w:rFonts w:ascii="Times New Roman" w:hAnsi="Times New Roman" w:cs="Times New Roman"/>
        </w:rPr>
        <w:t xml:space="preserve"> </w:t>
      </w:r>
      <w:r w:rsidRPr="00A33A28">
        <w:rPr>
          <w:rFonts w:ascii="Times New Roman" w:hAnsi="Times New Roman" w:cs="Times New Roman"/>
        </w:rPr>
        <w:t>http://appsso.eurostat.ec.europa.eu/nui/show.do?dataset=earn_mw_cur&amp;lang=</w:t>
      </w:r>
    </w:p>
  </w:footnote>
  <w:footnote w:id="4">
    <w:p w14:paraId="7DF433F5" w14:textId="77777777" w:rsidR="006765B2" w:rsidRPr="00A33A28" w:rsidRDefault="006765B2" w:rsidP="00070D19">
      <w:pPr>
        <w:pStyle w:val="Textpoznmkypodiarou"/>
        <w:rPr>
          <w:rFonts w:ascii="Times New Roman" w:hAnsi="Times New Roman" w:cs="Times New Roman"/>
        </w:rPr>
      </w:pPr>
      <w:r w:rsidRPr="00A33A28">
        <w:rPr>
          <w:rStyle w:val="Odkaznapoznmkupodiarou"/>
        </w:rPr>
        <w:footnoteRef/>
      </w:r>
      <w:r w:rsidRPr="00A33A28">
        <w:rPr>
          <w:rFonts w:ascii="Times New Roman" w:hAnsi="Times New Roman" w:cs="Times New Roman"/>
        </w:rPr>
        <w:t xml:space="preserve"> </w:t>
      </w:r>
      <w:hyperlink r:id="rId1" w:history="1">
        <w:r w:rsidRPr="00A33A28">
          <w:rPr>
            <w:rStyle w:val="Hypertextovprepojenie"/>
            <w:rFonts w:ascii="Times New Roman" w:hAnsi="Times New Roman" w:cs="Times New Roman"/>
            <w:color w:val="auto"/>
            <w:sz w:val="20"/>
            <w:u w:val="none"/>
          </w:rPr>
          <w:t>http://statdat.statistics.sk/cognosext/cgi-bin/cognos.cgi?b_action=cognosViewer&amp;ui.action=run&amp;ui.object=storeID(%22i94C7052B240A492FB3BE8C7A487D337B%22)&amp;ui.name=Priemern%C3%A1%20mesa%C4%8Dn%C3%A1%20mzda%20v%20hospod%C3%A1rstve%20SR%20%5Bpr0204qs%5D&amp;run.outputFormat=&amp;run.prompt=true&amp;cv.header=false&amp;ui.backURL=%2Fcognosext%2Fcps4%2Fportlets%2Fcommon%2Fclose.html&amp;run.outputLocale=sk)</w:t>
        </w:r>
      </w:hyperlink>
    </w:p>
  </w:footnote>
  <w:footnote w:id="5">
    <w:p w14:paraId="1C7A2FBF" w14:textId="77777777" w:rsidR="006765B2" w:rsidRPr="00A33A28" w:rsidRDefault="006765B2" w:rsidP="00070D19">
      <w:pPr>
        <w:pStyle w:val="Textpoznmkypodiarou"/>
        <w:rPr>
          <w:rFonts w:ascii="Times New Roman" w:hAnsi="Times New Roman" w:cs="Times New Roman"/>
        </w:rPr>
      </w:pPr>
      <w:r w:rsidRPr="00A33A28">
        <w:rPr>
          <w:rStyle w:val="Odkaznapoznmkupodiarou"/>
        </w:rPr>
        <w:footnoteRef/>
      </w:r>
      <w:r w:rsidRPr="00A33A28">
        <w:rPr>
          <w:rFonts w:ascii="Times New Roman" w:hAnsi="Times New Roman" w:cs="Times New Roman"/>
        </w:rPr>
        <w:t xml:space="preserve"> </w:t>
      </w:r>
      <w:hyperlink r:id="rId2" w:anchor="!/view/sk/VBD_SK_WIN/sv3007rr/Gymn%C3%A1zi%C3%A1%20-%20po%C4%8Det%20%C5%A1k%C3%B4l%20%5Bsv3007rr%5D" w:history="1">
        <w:r w:rsidRPr="00A33A28">
          <w:rPr>
            <w:rStyle w:val="Hypertextovprepojenie"/>
            <w:rFonts w:ascii="Times New Roman" w:hAnsi="Times New Roman" w:cs="Times New Roman"/>
            <w:color w:val="auto"/>
            <w:sz w:val="20"/>
            <w:u w:val="none"/>
          </w:rPr>
          <w:t>http://datacube.statistics.sk/#!/view/sk/VBD_SK_WIN/sv3007rr/Gymn%C3%A1zi%C3%A1%20-%20po%C4%8Det%20%C5%A1k%C3%B4l%20%5Bsv3007rr%5D</w:t>
        </w:r>
      </w:hyperlink>
      <w:r w:rsidRPr="00A33A28">
        <w:rPr>
          <w:rFonts w:ascii="Times New Roman" w:hAnsi="Times New Roman" w:cs="Times New Roman"/>
        </w:rPr>
        <w:t xml:space="preserve"> </w:t>
      </w:r>
    </w:p>
  </w:footnote>
  <w:footnote w:id="6">
    <w:p w14:paraId="6ACA6C00" w14:textId="77777777" w:rsidR="006765B2" w:rsidRPr="00A33A28" w:rsidRDefault="006765B2" w:rsidP="00070D19">
      <w:pPr>
        <w:pStyle w:val="Textpoznmkypodiarou"/>
        <w:rPr>
          <w:rFonts w:ascii="Times New Roman" w:hAnsi="Times New Roman" w:cs="Times New Roman"/>
        </w:rPr>
      </w:pPr>
      <w:r w:rsidRPr="00A33A28">
        <w:rPr>
          <w:rFonts w:ascii="Times New Roman" w:hAnsi="Times New Roman" w:cs="Times New Roman"/>
          <w:vertAlign w:val="superscript"/>
        </w:rPr>
        <w:footnoteRef/>
      </w:r>
      <w:r w:rsidRPr="00A33A28">
        <w:rPr>
          <w:rFonts w:ascii="Times New Roman" w:hAnsi="Times New Roman" w:cs="Times New Roman"/>
        </w:rPr>
        <w:t xml:space="preserve"> </w:t>
      </w:r>
      <w:r w:rsidRPr="00A33A28">
        <w:rPr>
          <w:rFonts w:ascii="Times New Roman" w:hAnsi="Times New Roman" w:cs="Times New Roman"/>
        </w:rPr>
        <w:t>Zdroj: www.doingbusiness.org</w:t>
      </w:r>
    </w:p>
  </w:footnote>
  <w:footnote w:id="7">
    <w:p w14:paraId="65AF1AC6" w14:textId="77777777" w:rsidR="006765B2" w:rsidRPr="00A33A28" w:rsidRDefault="006765B2" w:rsidP="00070D19">
      <w:pPr>
        <w:pStyle w:val="Textpoznmkypodiarou"/>
        <w:rPr>
          <w:rFonts w:ascii="Times New Roman" w:hAnsi="Times New Roman" w:cs="Times New Roman"/>
        </w:rPr>
      </w:pPr>
      <w:r w:rsidRPr="00A33A28">
        <w:rPr>
          <w:rStyle w:val="Odkaznapoznmkupodiarou"/>
        </w:rPr>
        <w:footnoteRef/>
      </w:r>
      <w:r w:rsidRPr="00A33A28">
        <w:rPr>
          <w:rFonts w:ascii="Times New Roman" w:hAnsi="Times New Roman" w:cs="Times New Roman"/>
        </w:rPr>
        <w:t xml:space="preserve"> </w:t>
      </w:r>
      <w:r w:rsidRPr="00A33A28">
        <w:rPr>
          <w:rFonts w:ascii="Times New Roman" w:hAnsi="Times New Roman" w:cs="Times New Roman"/>
        </w:rPr>
        <w:t>http://www.gemconsortium.org/report</w:t>
      </w:r>
    </w:p>
  </w:footnote>
  <w:footnote w:id="8">
    <w:p w14:paraId="0F106702" w14:textId="77777777" w:rsidR="006765B2" w:rsidRPr="00A33A28" w:rsidRDefault="006765B2" w:rsidP="00070D19">
      <w:pPr>
        <w:pStyle w:val="Textpoznmkypodiarou"/>
        <w:rPr>
          <w:rFonts w:ascii="Times New Roman" w:hAnsi="Times New Roman" w:cs="Times New Roman"/>
        </w:rPr>
      </w:pPr>
      <w:r w:rsidRPr="00A33A28">
        <w:rPr>
          <w:rStyle w:val="Odkaznapoznmkupodiarou"/>
        </w:rPr>
        <w:footnoteRef/>
      </w:r>
      <w:r w:rsidRPr="00A33A28">
        <w:rPr>
          <w:rFonts w:ascii="Times New Roman" w:hAnsi="Times New Roman" w:cs="Times New Roman"/>
        </w:rPr>
        <w:t xml:space="preserve"> </w:t>
      </w:r>
      <w:r w:rsidRPr="00A33A28">
        <w:rPr>
          <w:rFonts w:ascii="Times New Roman" w:hAnsi="Times New Roman" w:cs="Times New Roman"/>
        </w:rPr>
        <w:t>http://www.sbagency.sk/centrum-lepsej-regulacie</w:t>
      </w:r>
    </w:p>
  </w:footnote>
  <w:footnote w:id="9">
    <w:p w14:paraId="034C64EA" w14:textId="77777777" w:rsidR="006765B2" w:rsidRPr="00A33A28" w:rsidRDefault="006765B2" w:rsidP="00070D19">
      <w:pPr>
        <w:pStyle w:val="Textpoznmkypodiarou"/>
        <w:rPr>
          <w:rFonts w:ascii="Times New Roman" w:hAnsi="Times New Roman" w:cs="Times New Roman"/>
        </w:rPr>
      </w:pPr>
      <w:r w:rsidRPr="00A33A28">
        <w:rPr>
          <w:rStyle w:val="Odkaznapoznmkupodiarou"/>
        </w:rPr>
        <w:footnoteRef/>
      </w:r>
      <w:r w:rsidRPr="00A33A28">
        <w:rPr>
          <w:rFonts w:ascii="Times New Roman" w:hAnsi="Times New Roman" w:cs="Times New Roman"/>
        </w:rPr>
        <w:t xml:space="preserve"> </w:t>
      </w:r>
      <w:hyperlink r:id="rId3" w:history="1">
        <w:r w:rsidRPr="00A33A28">
          <w:rPr>
            <w:rStyle w:val="Hypertextovprepojenie"/>
            <w:rFonts w:ascii="Times New Roman" w:hAnsi="Times New Roman" w:cs="Times New Roman"/>
            <w:color w:val="auto"/>
            <w:sz w:val="20"/>
            <w:u w:val="none"/>
          </w:rPr>
          <w:t>http://www.rokovania.sk/Rokovanie.aspx/NezaradenyMaterialDetail?idMaterial=27132</w:t>
        </w:r>
      </w:hyperlink>
      <w:r w:rsidRPr="00A33A28">
        <w:rPr>
          <w:rFonts w:ascii="Times New Roman" w:hAnsi="Times New Roman" w:cs="Times New Roman"/>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1D7D73"/>
    <w:multiLevelType w:val="hybridMultilevel"/>
    <w:tmpl w:val="E0B28D26"/>
    <w:lvl w:ilvl="0" w:tplc="F6DC1210">
      <w:start w:val="4"/>
      <w:numFmt w:val="bullet"/>
      <w:lvlText w:val="-"/>
      <w:lvlJc w:val="left"/>
      <w:pPr>
        <w:ind w:left="420" w:hanging="360"/>
      </w:pPr>
      <w:rPr>
        <w:rFonts w:ascii="Times New Roman" w:eastAsia="Times New Roman" w:hAnsi="Times New Roman" w:cs="Times New Roman" w:hint="default"/>
        <w:b/>
        <w:sz w:val="16"/>
      </w:rPr>
    </w:lvl>
    <w:lvl w:ilvl="1" w:tplc="041B0003" w:tentative="1">
      <w:start w:val="1"/>
      <w:numFmt w:val="bullet"/>
      <w:lvlText w:val="o"/>
      <w:lvlJc w:val="left"/>
      <w:pPr>
        <w:ind w:left="1140" w:hanging="360"/>
      </w:pPr>
      <w:rPr>
        <w:rFonts w:ascii="Courier New" w:hAnsi="Courier New" w:cs="Courier New" w:hint="default"/>
      </w:rPr>
    </w:lvl>
    <w:lvl w:ilvl="2" w:tplc="041B0005" w:tentative="1">
      <w:start w:val="1"/>
      <w:numFmt w:val="bullet"/>
      <w:lvlText w:val=""/>
      <w:lvlJc w:val="left"/>
      <w:pPr>
        <w:ind w:left="1860" w:hanging="360"/>
      </w:pPr>
      <w:rPr>
        <w:rFonts w:ascii="Wingdings" w:hAnsi="Wingdings" w:hint="default"/>
      </w:rPr>
    </w:lvl>
    <w:lvl w:ilvl="3" w:tplc="041B0001" w:tentative="1">
      <w:start w:val="1"/>
      <w:numFmt w:val="bullet"/>
      <w:lvlText w:val=""/>
      <w:lvlJc w:val="left"/>
      <w:pPr>
        <w:ind w:left="2580" w:hanging="360"/>
      </w:pPr>
      <w:rPr>
        <w:rFonts w:ascii="Symbol" w:hAnsi="Symbol" w:hint="default"/>
      </w:rPr>
    </w:lvl>
    <w:lvl w:ilvl="4" w:tplc="041B0003" w:tentative="1">
      <w:start w:val="1"/>
      <w:numFmt w:val="bullet"/>
      <w:lvlText w:val="o"/>
      <w:lvlJc w:val="left"/>
      <w:pPr>
        <w:ind w:left="3300" w:hanging="360"/>
      </w:pPr>
      <w:rPr>
        <w:rFonts w:ascii="Courier New" w:hAnsi="Courier New" w:cs="Courier New" w:hint="default"/>
      </w:rPr>
    </w:lvl>
    <w:lvl w:ilvl="5" w:tplc="041B0005" w:tentative="1">
      <w:start w:val="1"/>
      <w:numFmt w:val="bullet"/>
      <w:lvlText w:val=""/>
      <w:lvlJc w:val="left"/>
      <w:pPr>
        <w:ind w:left="4020" w:hanging="360"/>
      </w:pPr>
      <w:rPr>
        <w:rFonts w:ascii="Wingdings" w:hAnsi="Wingdings" w:hint="default"/>
      </w:rPr>
    </w:lvl>
    <w:lvl w:ilvl="6" w:tplc="041B0001" w:tentative="1">
      <w:start w:val="1"/>
      <w:numFmt w:val="bullet"/>
      <w:lvlText w:val=""/>
      <w:lvlJc w:val="left"/>
      <w:pPr>
        <w:ind w:left="4740" w:hanging="360"/>
      </w:pPr>
      <w:rPr>
        <w:rFonts w:ascii="Symbol" w:hAnsi="Symbol" w:hint="default"/>
      </w:rPr>
    </w:lvl>
    <w:lvl w:ilvl="7" w:tplc="041B0003" w:tentative="1">
      <w:start w:val="1"/>
      <w:numFmt w:val="bullet"/>
      <w:lvlText w:val="o"/>
      <w:lvlJc w:val="left"/>
      <w:pPr>
        <w:ind w:left="5460" w:hanging="360"/>
      </w:pPr>
      <w:rPr>
        <w:rFonts w:ascii="Courier New" w:hAnsi="Courier New" w:cs="Courier New" w:hint="default"/>
      </w:rPr>
    </w:lvl>
    <w:lvl w:ilvl="8" w:tplc="041B0005" w:tentative="1">
      <w:start w:val="1"/>
      <w:numFmt w:val="bullet"/>
      <w:lvlText w:val=""/>
      <w:lvlJc w:val="left"/>
      <w:pPr>
        <w:ind w:left="6180" w:hanging="360"/>
      </w:pPr>
      <w:rPr>
        <w:rFonts w:ascii="Wingdings" w:hAnsi="Wingdings" w:hint="default"/>
      </w:rPr>
    </w:lvl>
  </w:abstractNum>
  <w:abstractNum w:abstractNumId="1" w15:restartNumberingAfterBreak="0">
    <w:nsid w:val="28685EC1"/>
    <w:multiLevelType w:val="multilevel"/>
    <w:tmpl w:val="13D4ED9C"/>
    <w:lvl w:ilvl="0">
      <w:start w:val="1"/>
      <w:numFmt w:val="decimal"/>
      <w:lvlText w:val="%1"/>
      <w:lvlJc w:val="left"/>
      <w:pPr>
        <w:ind w:left="360" w:hanging="360"/>
      </w:pPr>
      <w:rPr>
        <w:rFonts w:hint="default"/>
      </w:rPr>
    </w:lvl>
    <w:lvl w:ilvl="1">
      <w:start w:val="1"/>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 w15:restartNumberingAfterBreak="0">
    <w:nsid w:val="29B254E4"/>
    <w:multiLevelType w:val="hybridMultilevel"/>
    <w:tmpl w:val="67F6B064"/>
    <w:lvl w:ilvl="0" w:tplc="4E30F862">
      <w:numFmt w:val="bullet"/>
      <w:lvlText w:val="-"/>
      <w:lvlJc w:val="left"/>
      <w:pPr>
        <w:ind w:left="420" w:hanging="360"/>
      </w:pPr>
      <w:rPr>
        <w:rFonts w:ascii="Times New Roman" w:eastAsiaTheme="minorHAnsi" w:hAnsi="Times New Roman" w:cs="Times New Roman" w:hint="default"/>
      </w:rPr>
    </w:lvl>
    <w:lvl w:ilvl="1" w:tplc="041B0003" w:tentative="1">
      <w:start w:val="1"/>
      <w:numFmt w:val="bullet"/>
      <w:lvlText w:val="o"/>
      <w:lvlJc w:val="left"/>
      <w:pPr>
        <w:ind w:left="1140" w:hanging="360"/>
      </w:pPr>
      <w:rPr>
        <w:rFonts w:ascii="Courier New" w:hAnsi="Courier New" w:cs="Courier New" w:hint="default"/>
      </w:rPr>
    </w:lvl>
    <w:lvl w:ilvl="2" w:tplc="041B0005" w:tentative="1">
      <w:start w:val="1"/>
      <w:numFmt w:val="bullet"/>
      <w:lvlText w:val=""/>
      <w:lvlJc w:val="left"/>
      <w:pPr>
        <w:ind w:left="1860" w:hanging="360"/>
      </w:pPr>
      <w:rPr>
        <w:rFonts w:ascii="Wingdings" w:hAnsi="Wingdings" w:hint="default"/>
      </w:rPr>
    </w:lvl>
    <w:lvl w:ilvl="3" w:tplc="041B0001" w:tentative="1">
      <w:start w:val="1"/>
      <w:numFmt w:val="bullet"/>
      <w:lvlText w:val=""/>
      <w:lvlJc w:val="left"/>
      <w:pPr>
        <w:ind w:left="2580" w:hanging="360"/>
      </w:pPr>
      <w:rPr>
        <w:rFonts w:ascii="Symbol" w:hAnsi="Symbol" w:hint="default"/>
      </w:rPr>
    </w:lvl>
    <w:lvl w:ilvl="4" w:tplc="041B0003" w:tentative="1">
      <w:start w:val="1"/>
      <w:numFmt w:val="bullet"/>
      <w:lvlText w:val="o"/>
      <w:lvlJc w:val="left"/>
      <w:pPr>
        <w:ind w:left="3300" w:hanging="360"/>
      </w:pPr>
      <w:rPr>
        <w:rFonts w:ascii="Courier New" w:hAnsi="Courier New" w:cs="Courier New" w:hint="default"/>
      </w:rPr>
    </w:lvl>
    <w:lvl w:ilvl="5" w:tplc="041B0005" w:tentative="1">
      <w:start w:val="1"/>
      <w:numFmt w:val="bullet"/>
      <w:lvlText w:val=""/>
      <w:lvlJc w:val="left"/>
      <w:pPr>
        <w:ind w:left="4020" w:hanging="360"/>
      </w:pPr>
      <w:rPr>
        <w:rFonts w:ascii="Wingdings" w:hAnsi="Wingdings" w:hint="default"/>
      </w:rPr>
    </w:lvl>
    <w:lvl w:ilvl="6" w:tplc="041B0001" w:tentative="1">
      <w:start w:val="1"/>
      <w:numFmt w:val="bullet"/>
      <w:lvlText w:val=""/>
      <w:lvlJc w:val="left"/>
      <w:pPr>
        <w:ind w:left="4740" w:hanging="360"/>
      </w:pPr>
      <w:rPr>
        <w:rFonts w:ascii="Symbol" w:hAnsi="Symbol" w:hint="default"/>
      </w:rPr>
    </w:lvl>
    <w:lvl w:ilvl="7" w:tplc="041B0003" w:tentative="1">
      <w:start w:val="1"/>
      <w:numFmt w:val="bullet"/>
      <w:lvlText w:val="o"/>
      <w:lvlJc w:val="left"/>
      <w:pPr>
        <w:ind w:left="5460" w:hanging="360"/>
      </w:pPr>
      <w:rPr>
        <w:rFonts w:ascii="Courier New" w:hAnsi="Courier New" w:cs="Courier New" w:hint="default"/>
      </w:rPr>
    </w:lvl>
    <w:lvl w:ilvl="8" w:tplc="041B0005" w:tentative="1">
      <w:start w:val="1"/>
      <w:numFmt w:val="bullet"/>
      <w:lvlText w:val=""/>
      <w:lvlJc w:val="left"/>
      <w:pPr>
        <w:ind w:left="6180" w:hanging="360"/>
      </w:pPr>
      <w:rPr>
        <w:rFonts w:ascii="Wingdings" w:hAnsi="Wingdings" w:hint="default"/>
      </w:rPr>
    </w:lvl>
  </w:abstractNum>
  <w:abstractNum w:abstractNumId="3" w15:restartNumberingAfterBreak="0">
    <w:nsid w:val="333C37DF"/>
    <w:multiLevelType w:val="multilevel"/>
    <w:tmpl w:val="0A18A624"/>
    <w:lvl w:ilvl="0">
      <w:start w:val="1"/>
      <w:numFmt w:val="decimal"/>
      <w:lvlText w:val="%1."/>
      <w:lvlJc w:val="left"/>
      <w:pPr>
        <w:ind w:left="502" w:hanging="360"/>
      </w:pPr>
      <w:rPr>
        <w:rFonts w:hint="default"/>
        <w:b w:val="0"/>
      </w:rPr>
    </w:lvl>
    <w:lvl w:ilvl="1">
      <w:start w:val="2"/>
      <w:numFmt w:val="decimal"/>
      <w:lvlText w:val="%1.%2"/>
      <w:lvlJc w:val="left"/>
      <w:pPr>
        <w:ind w:left="1353" w:hanging="360"/>
      </w:pPr>
      <w:rPr>
        <w:rFonts w:hint="default"/>
        <w:i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46D579E"/>
    <w:multiLevelType w:val="hybridMultilevel"/>
    <w:tmpl w:val="C6CAAC26"/>
    <w:lvl w:ilvl="0" w:tplc="72A0C582">
      <w:start w:val="1"/>
      <w:numFmt w:val="decimal"/>
      <w:lvlText w:val="%1."/>
      <w:lvlJc w:val="left"/>
      <w:pPr>
        <w:ind w:left="432" w:hanging="360"/>
      </w:pPr>
      <w:rPr>
        <w:rFonts w:hint="default"/>
      </w:rPr>
    </w:lvl>
    <w:lvl w:ilvl="1" w:tplc="041B0019" w:tentative="1">
      <w:start w:val="1"/>
      <w:numFmt w:val="lowerLetter"/>
      <w:lvlText w:val="%2."/>
      <w:lvlJc w:val="left"/>
      <w:pPr>
        <w:ind w:left="1152" w:hanging="360"/>
      </w:pPr>
    </w:lvl>
    <w:lvl w:ilvl="2" w:tplc="041B001B" w:tentative="1">
      <w:start w:val="1"/>
      <w:numFmt w:val="lowerRoman"/>
      <w:lvlText w:val="%3."/>
      <w:lvlJc w:val="right"/>
      <w:pPr>
        <w:ind w:left="1872" w:hanging="180"/>
      </w:pPr>
    </w:lvl>
    <w:lvl w:ilvl="3" w:tplc="041B000F" w:tentative="1">
      <w:start w:val="1"/>
      <w:numFmt w:val="decimal"/>
      <w:lvlText w:val="%4."/>
      <w:lvlJc w:val="left"/>
      <w:pPr>
        <w:ind w:left="2592" w:hanging="360"/>
      </w:pPr>
    </w:lvl>
    <w:lvl w:ilvl="4" w:tplc="041B0019" w:tentative="1">
      <w:start w:val="1"/>
      <w:numFmt w:val="lowerLetter"/>
      <w:lvlText w:val="%5."/>
      <w:lvlJc w:val="left"/>
      <w:pPr>
        <w:ind w:left="3312" w:hanging="360"/>
      </w:pPr>
    </w:lvl>
    <w:lvl w:ilvl="5" w:tplc="041B001B" w:tentative="1">
      <w:start w:val="1"/>
      <w:numFmt w:val="lowerRoman"/>
      <w:lvlText w:val="%6."/>
      <w:lvlJc w:val="right"/>
      <w:pPr>
        <w:ind w:left="4032" w:hanging="180"/>
      </w:pPr>
    </w:lvl>
    <w:lvl w:ilvl="6" w:tplc="041B000F" w:tentative="1">
      <w:start w:val="1"/>
      <w:numFmt w:val="decimal"/>
      <w:lvlText w:val="%7."/>
      <w:lvlJc w:val="left"/>
      <w:pPr>
        <w:ind w:left="4752" w:hanging="360"/>
      </w:pPr>
    </w:lvl>
    <w:lvl w:ilvl="7" w:tplc="041B0019" w:tentative="1">
      <w:start w:val="1"/>
      <w:numFmt w:val="lowerLetter"/>
      <w:lvlText w:val="%8."/>
      <w:lvlJc w:val="left"/>
      <w:pPr>
        <w:ind w:left="5472" w:hanging="360"/>
      </w:pPr>
    </w:lvl>
    <w:lvl w:ilvl="8" w:tplc="041B001B" w:tentative="1">
      <w:start w:val="1"/>
      <w:numFmt w:val="lowerRoman"/>
      <w:lvlText w:val="%9."/>
      <w:lvlJc w:val="right"/>
      <w:pPr>
        <w:ind w:left="6192" w:hanging="180"/>
      </w:pPr>
    </w:lvl>
  </w:abstractNum>
  <w:abstractNum w:abstractNumId="5" w15:restartNumberingAfterBreak="0">
    <w:nsid w:val="4D5875F1"/>
    <w:multiLevelType w:val="hybridMultilevel"/>
    <w:tmpl w:val="EE48FC6C"/>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4F042164"/>
    <w:multiLevelType w:val="hybridMultilevel"/>
    <w:tmpl w:val="974A640E"/>
    <w:lvl w:ilvl="0" w:tplc="041B0015">
      <w:start w:val="1"/>
      <w:numFmt w:val="upperLetter"/>
      <w:lvlText w:val="%1."/>
      <w:lvlJc w:val="left"/>
      <w:pPr>
        <w:tabs>
          <w:tab w:val="num" w:pos="720"/>
        </w:tabs>
        <w:ind w:left="720" w:hanging="360"/>
      </w:pPr>
    </w:lvl>
    <w:lvl w:ilvl="1" w:tplc="041B0019">
      <w:start w:val="1"/>
      <w:numFmt w:val="lowerLetter"/>
      <w:lvlText w:val="%2."/>
      <w:lvlJc w:val="left"/>
      <w:pPr>
        <w:tabs>
          <w:tab w:val="num" w:pos="1440"/>
        </w:tabs>
        <w:ind w:left="1440" w:hanging="360"/>
      </w:pPr>
    </w:lvl>
    <w:lvl w:ilvl="2" w:tplc="041B001B">
      <w:start w:val="1"/>
      <w:numFmt w:val="lowerRoman"/>
      <w:lvlText w:val="%3."/>
      <w:lvlJc w:val="right"/>
      <w:pPr>
        <w:tabs>
          <w:tab w:val="num" w:pos="2160"/>
        </w:tabs>
        <w:ind w:left="2160" w:hanging="180"/>
      </w:pPr>
    </w:lvl>
    <w:lvl w:ilvl="3" w:tplc="041B000F">
      <w:start w:val="1"/>
      <w:numFmt w:val="decimal"/>
      <w:lvlText w:val="%4."/>
      <w:lvlJc w:val="left"/>
      <w:pPr>
        <w:tabs>
          <w:tab w:val="num" w:pos="2880"/>
        </w:tabs>
        <w:ind w:left="2880" w:hanging="360"/>
      </w:pPr>
    </w:lvl>
    <w:lvl w:ilvl="4" w:tplc="041B0019">
      <w:start w:val="1"/>
      <w:numFmt w:val="lowerLetter"/>
      <w:lvlText w:val="%5."/>
      <w:lvlJc w:val="left"/>
      <w:pPr>
        <w:tabs>
          <w:tab w:val="num" w:pos="3600"/>
        </w:tabs>
        <w:ind w:left="3600" w:hanging="360"/>
      </w:pPr>
    </w:lvl>
    <w:lvl w:ilvl="5" w:tplc="041B001B">
      <w:start w:val="1"/>
      <w:numFmt w:val="lowerRoman"/>
      <w:lvlText w:val="%6."/>
      <w:lvlJc w:val="right"/>
      <w:pPr>
        <w:tabs>
          <w:tab w:val="num" w:pos="4320"/>
        </w:tabs>
        <w:ind w:left="4320" w:hanging="180"/>
      </w:pPr>
    </w:lvl>
    <w:lvl w:ilvl="6" w:tplc="041B000F">
      <w:start w:val="1"/>
      <w:numFmt w:val="decimal"/>
      <w:lvlText w:val="%7."/>
      <w:lvlJc w:val="left"/>
      <w:pPr>
        <w:tabs>
          <w:tab w:val="num" w:pos="5040"/>
        </w:tabs>
        <w:ind w:left="5040" w:hanging="360"/>
      </w:pPr>
    </w:lvl>
    <w:lvl w:ilvl="7" w:tplc="041B0019">
      <w:start w:val="1"/>
      <w:numFmt w:val="lowerLetter"/>
      <w:lvlText w:val="%8."/>
      <w:lvlJc w:val="left"/>
      <w:pPr>
        <w:tabs>
          <w:tab w:val="num" w:pos="5760"/>
        </w:tabs>
        <w:ind w:left="5760" w:hanging="360"/>
      </w:pPr>
    </w:lvl>
    <w:lvl w:ilvl="8" w:tplc="041B001B">
      <w:start w:val="1"/>
      <w:numFmt w:val="lowerRoman"/>
      <w:lvlText w:val="%9."/>
      <w:lvlJc w:val="right"/>
      <w:pPr>
        <w:tabs>
          <w:tab w:val="num" w:pos="6480"/>
        </w:tabs>
        <w:ind w:left="6480" w:hanging="180"/>
      </w:pPr>
    </w:lvl>
  </w:abstractNum>
  <w:abstractNum w:abstractNumId="7" w15:restartNumberingAfterBreak="0">
    <w:nsid w:val="54C373D2"/>
    <w:multiLevelType w:val="multilevel"/>
    <w:tmpl w:val="C89C8624"/>
    <w:lvl w:ilvl="0">
      <w:start w:val="2"/>
      <w:numFmt w:val="decimal"/>
      <w:lvlText w:val="%1."/>
      <w:lvlJc w:val="left"/>
      <w:pPr>
        <w:ind w:left="720" w:hanging="360"/>
      </w:pPr>
      <w:rPr>
        <w:rFonts w:hint="default"/>
      </w:rPr>
    </w:lvl>
    <w:lvl w:ilvl="1">
      <w:start w:val="1"/>
      <w:numFmt w:val="decimal"/>
      <w:isLgl/>
      <w:lvlText w:val="%1.%2"/>
      <w:lvlJc w:val="left"/>
      <w:pPr>
        <w:ind w:left="7023"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8" w15:restartNumberingAfterBreak="0">
    <w:nsid w:val="57824BD1"/>
    <w:multiLevelType w:val="hybridMultilevel"/>
    <w:tmpl w:val="89E82EC4"/>
    <w:lvl w:ilvl="0" w:tplc="041B0001">
      <w:start w:val="1"/>
      <w:numFmt w:val="bullet"/>
      <w:lvlText w:val=""/>
      <w:lvlJc w:val="left"/>
      <w:pPr>
        <w:ind w:left="1428" w:hanging="360"/>
      </w:pPr>
      <w:rPr>
        <w:rFonts w:ascii="Symbol" w:hAnsi="Symbol" w:hint="default"/>
      </w:rPr>
    </w:lvl>
    <w:lvl w:ilvl="1" w:tplc="041B0003" w:tentative="1">
      <w:start w:val="1"/>
      <w:numFmt w:val="bullet"/>
      <w:lvlText w:val="o"/>
      <w:lvlJc w:val="left"/>
      <w:pPr>
        <w:ind w:left="2148" w:hanging="360"/>
      </w:pPr>
      <w:rPr>
        <w:rFonts w:ascii="Courier New" w:hAnsi="Courier New" w:cs="Courier New" w:hint="default"/>
      </w:rPr>
    </w:lvl>
    <w:lvl w:ilvl="2" w:tplc="041B0005" w:tentative="1">
      <w:start w:val="1"/>
      <w:numFmt w:val="bullet"/>
      <w:lvlText w:val=""/>
      <w:lvlJc w:val="left"/>
      <w:pPr>
        <w:ind w:left="2868" w:hanging="360"/>
      </w:pPr>
      <w:rPr>
        <w:rFonts w:ascii="Wingdings" w:hAnsi="Wingdings" w:hint="default"/>
      </w:rPr>
    </w:lvl>
    <w:lvl w:ilvl="3" w:tplc="041B0001" w:tentative="1">
      <w:start w:val="1"/>
      <w:numFmt w:val="bullet"/>
      <w:lvlText w:val=""/>
      <w:lvlJc w:val="left"/>
      <w:pPr>
        <w:ind w:left="3588" w:hanging="360"/>
      </w:pPr>
      <w:rPr>
        <w:rFonts w:ascii="Symbol" w:hAnsi="Symbol" w:hint="default"/>
      </w:rPr>
    </w:lvl>
    <w:lvl w:ilvl="4" w:tplc="041B0003" w:tentative="1">
      <w:start w:val="1"/>
      <w:numFmt w:val="bullet"/>
      <w:lvlText w:val="o"/>
      <w:lvlJc w:val="left"/>
      <w:pPr>
        <w:ind w:left="4308" w:hanging="360"/>
      </w:pPr>
      <w:rPr>
        <w:rFonts w:ascii="Courier New" w:hAnsi="Courier New" w:cs="Courier New" w:hint="default"/>
      </w:rPr>
    </w:lvl>
    <w:lvl w:ilvl="5" w:tplc="041B0005" w:tentative="1">
      <w:start w:val="1"/>
      <w:numFmt w:val="bullet"/>
      <w:lvlText w:val=""/>
      <w:lvlJc w:val="left"/>
      <w:pPr>
        <w:ind w:left="5028" w:hanging="360"/>
      </w:pPr>
      <w:rPr>
        <w:rFonts w:ascii="Wingdings" w:hAnsi="Wingdings" w:hint="default"/>
      </w:rPr>
    </w:lvl>
    <w:lvl w:ilvl="6" w:tplc="041B0001" w:tentative="1">
      <w:start w:val="1"/>
      <w:numFmt w:val="bullet"/>
      <w:lvlText w:val=""/>
      <w:lvlJc w:val="left"/>
      <w:pPr>
        <w:ind w:left="5748" w:hanging="360"/>
      </w:pPr>
      <w:rPr>
        <w:rFonts w:ascii="Symbol" w:hAnsi="Symbol" w:hint="default"/>
      </w:rPr>
    </w:lvl>
    <w:lvl w:ilvl="7" w:tplc="041B0003" w:tentative="1">
      <w:start w:val="1"/>
      <w:numFmt w:val="bullet"/>
      <w:lvlText w:val="o"/>
      <w:lvlJc w:val="left"/>
      <w:pPr>
        <w:ind w:left="6468" w:hanging="360"/>
      </w:pPr>
      <w:rPr>
        <w:rFonts w:ascii="Courier New" w:hAnsi="Courier New" w:cs="Courier New" w:hint="default"/>
      </w:rPr>
    </w:lvl>
    <w:lvl w:ilvl="8" w:tplc="041B0005" w:tentative="1">
      <w:start w:val="1"/>
      <w:numFmt w:val="bullet"/>
      <w:lvlText w:val=""/>
      <w:lvlJc w:val="left"/>
      <w:pPr>
        <w:ind w:left="7188" w:hanging="360"/>
      </w:pPr>
      <w:rPr>
        <w:rFonts w:ascii="Wingdings" w:hAnsi="Wingdings" w:hint="default"/>
      </w:rPr>
    </w:lvl>
  </w:abstractNum>
  <w:abstractNum w:abstractNumId="9" w15:restartNumberingAfterBreak="0">
    <w:nsid w:val="691C2759"/>
    <w:multiLevelType w:val="multilevel"/>
    <w:tmpl w:val="D444D406"/>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BDE54EF"/>
    <w:multiLevelType w:val="hybridMultilevel"/>
    <w:tmpl w:val="419C7968"/>
    <w:lvl w:ilvl="0" w:tplc="041B000F">
      <w:start w:val="1"/>
      <w:numFmt w:val="decimal"/>
      <w:lvlText w:val="%1."/>
      <w:lvlJc w:val="left"/>
      <w:pPr>
        <w:ind w:left="862" w:hanging="360"/>
      </w:pPr>
    </w:lvl>
    <w:lvl w:ilvl="1" w:tplc="041B0019" w:tentative="1">
      <w:start w:val="1"/>
      <w:numFmt w:val="lowerLetter"/>
      <w:lvlText w:val="%2."/>
      <w:lvlJc w:val="left"/>
      <w:pPr>
        <w:ind w:left="1582" w:hanging="360"/>
      </w:pPr>
    </w:lvl>
    <w:lvl w:ilvl="2" w:tplc="041B001B" w:tentative="1">
      <w:start w:val="1"/>
      <w:numFmt w:val="lowerRoman"/>
      <w:lvlText w:val="%3."/>
      <w:lvlJc w:val="right"/>
      <w:pPr>
        <w:ind w:left="2302" w:hanging="180"/>
      </w:pPr>
    </w:lvl>
    <w:lvl w:ilvl="3" w:tplc="041B000F" w:tentative="1">
      <w:start w:val="1"/>
      <w:numFmt w:val="decimal"/>
      <w:lvlText w:val="%4."/>
      <w:lvlJc w:val="left"/>
      <w:pPr>
        <w:ind w:left="3022" w:hanging="360"/>
      </w:pPr>
    </w:lvl>
    <w:lvl w:ilvl="4" w:tplc="041B0019" w:tentative="1">
      <w:start w:val="1"/>
      <w:numFmt w:val="lowerLetter"/>
      <w:lvlText w:val="%5."/>
      <w:lvlJc w:val="left"/>
      <w:pPr>
        <w:ind w:left="3742" w:hanging="360"/>
      </w:pPr>
    </w:lvl>
    <w:lvl w:ilvl="5" w:tplc="041B001B" w:tentative="1">
      <w:start w:val="1"/>
      <w:numFmt w:val="lowerRoman"/>
      <w:lvlText w:val="%6."/>
      <w:lvlJc w:val="right"/>
      <w:pPr>
        <w:ind w:left="4462" w:hanging="180"/>
      </w:pPr>
    </w:lvl>
    <w:lvl w:ilvl="6" w:tplc="041B000F" w:tentative="1">
      <w:start w:val="1"/>
      <w:numFmt w:val="decimal"/>
      <w:lvlText w:val="%7."/>
      <w:lvlJc w:val="left"/>
      <w:pPr>
        <w:ind w:left="5182" w:hanging="360"/>
      </w:pPr>
    </w:lvl>
    <w:lvl w:ilvl="7" w:tplc="041B0019" w:tentative="1">
      <w:start w:val="1"/>
      <w:numFmt w:val="lowerLetter"/>
      <w:lvlText w:val="%8."/>
      <w:lvlJc w:val="left"/>
      <w:pPr>
        <w:ind w:left="5902" w:hanging="360"/>
      </w:pPr>
    </w:lvl>
    <w:lvl w:ilvl="8" w:tplc="041B001B" w:tentative="1">
      <w:start w:val="1"/>
      <w:numFmt w:val="lowerRoman"/>
      <w:lvlText w:val="%9."/>
      <w:lvlJc w:val="right"/>
      <w:pPr>
        <w:ind w:left="6622" w:hanging="180"/>
      </w:pPr>
    </w:lvl>
  </w:abstractNum>
  <w:abstractNum w:abstractNumId="11" w15:restartNumberingAfterBreak="0">
    <w:nsid w:val="7C9B1391"/>
    <w:multiLevelType w:val="multilevel"/>
    <w:tmpl w:val="EE028530"/>
    <w:lvl w:ilvl="0">
      <w:start w:val="1"/>
      <w:numFmt w:val="decimal"/>
      <w:lvlText w:val="%1."/>
      <w:lvlJc w:val="left"/>
      <w:pPr>
        <w:ind w:left="502" w:hanging="360"/>
      </w:pPr>
      <w:rPr>
        <w:rFonts w:hint="default"/>
        <w:b w:val="0"/>
      </w:rPr>
    </w:lvl>
    <w:lvl w:ilvl="1">
      <w:start w:val="1"/>
      <w:numFmt w:val="decimal"/>
      <w:lvlText w:val="%1.%2"/>
      <w:lvlJc w:val="left"/>
      <w:pPr>
        <w:ind w:left="1440" w:hanging="360"/>
      </w:pPr>
      <w:rPr>
        <w:rFonts w:hint="default"/>
        <w:i w:val="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2" w15:restartNumberingAfterBreak="0">
    <w:nsid w:val="7E184174"/>
    <w:multiLevelType w:val="hybridMultilevel"/>
    <w:tmpl w:val="665C46F8"/>
    <w:lvl w:ilvl="0" w:tplc="8F7859F2">
      <w:start w:val="4"/>
      <w:numFmt w:val="bullet"/>
      <w:lvlText w:val="-"/>
      <w:lvlJc w:val="left"/>
      <w:pPr>
        <w:ind w:left="1428" w:hanging="360"/>
      </w:pPr>
      <w:rPr>
        <w:rFonts w:ascii="Times New Roman" w:eastAsia="Times New Roman" w:hAnsi="Times New Roman" w:cs="Times New Roman" w:hint="default"/>
        <w:b/>
        <w:sz w:val="16"/>
      </w:rPr>
    </w:lvl>
    <w:lvl w:ilvl="1" w:tplc="F94EDA32" w:tentative="1">
      <w:start w:val="1"/>
      <w:numFmt w:val="bullet"/>
      <w:lvlText w:val="o"/>
      <w:lvlJc w:val="left"/>
      <w:pPr>
        <w:ind w:left="2148" w:hanging="360"/>
      </w:pPr>
      <w:rPr>
        <w:rFonts w:ascii="Courier New" w:hAnsi="Courier New" w:cs="Courier New" w:hint="default"/>
      </w:rPr>
    </w:lvl>
    <w:lvl w:ilvl="2" w:tplc="5566AA24" w:tentative="1">
      <w:start w:val="1"/>
      <w:numFmt w:val="bullet"/>
      <w:lvlText w:val=""/>
      <w:lvlJc w:val="left"/>
      <w:pPr>
        <w:ind w:left="2868" w:hanging="360"/>
      </w:pPr>
      <w:rPr>
        <w:rFonts w:ascii="Wingdings" w:hAnsi="Wingdings" w:hint="default"/>
      </w:rPr>
    </w:lvl>
    <w:lvl w:ilvl="3" w:tplc="903A73B0" w:tentative="1">
      <w:start w:val="1"/>
      <w:numFmt w:val="bullet"/>
      <w:lvlText w:val=""/>
      <w:lvlJc w:val="left"/>
      <w:pPr>
        <w:ind w:left="3588" w:hanging="360"/>
      </w:pPr>
      <w:rPr>
        <w:rFonts w:ascii="Symbol" w:hAnsi="Symbol" w:hint="default"/>
      </w:rPr>
    </w:lvl>
    <w:lvl w:ilvl="4" w:tplc="9482C648" w:tentative="1">
      <w:start w:val="1"/>
      <w:numFmt w:val="bullet"/>
      <w:lvlText w:val="o"/>
      <w:lvlJc w:val="left"/>
      <w:pPr>
        <w:ind w:left="4308" w:hanging="360"/>
      </w:pPr>
      <w:rPr>
        <w:rFonts w:ascii="Courier New" w:hAnsi="Courier New" w:cs="Courier New" w:hint="default"/>
      </w:rPr>
    </w:lvl>
    <w:lvl w:ilvl="5" w:tplc="42A40CA6" w:tentative="1">
      <w:start w:val="1"/>
      <w:numFmt w:val="bullet"/>
      <w:lvlText w:val=""/>
      <w:lvlJc w:val="left"/>
      <w:pPr>
        <w:ind w:left="5028" w:hanging="360"/>
      </w:pPr>
      <w:rPr>
        <w:rFonts w:ascii="Wingdings" w:hAnsi="Wingdings" w:hint="default"/>
      </w:rPr>
    </w:lvl>
    <w:lvl w:ilvl="6" w:tplc="7BAE607C" w:tentative="1">
      <w:start w:val="1"/>
      <w:numFmt w:val="bullet"/>
      <w:lvlText w:val=""/>
      <w:lvlJc w:val="left"/>
      <w:pPr>
        <w:ind w:left="5748" w:hanging="360"/>
      </w:pPr>
      <w:rPr>
        <w:rFonts w:ascii="Symbol" w:hAnsi="Symbol" w:hint="default"/>
      </w:rPr>
    </w:lvl>
    <w:lvl w:ilvl="7" w:tplc="EF4492B6" w:tentative="1">
      <w:start w:val="1"/>
      <w:numFmt w:val="bullet"/>
      <w:lvlText w:val="o"/>
      <w:lvlJc w:val="left"/>
      <w:pPr>
        <w:ind w:left="6468" w:hanging="360"/>
      </w:pPr>
      <w:rPr>
        <w:rFonts w:ascii="Courier New" w:hAnsi="Courier New" w:cs="Courier New" w:hint="default"/>
      </w:rPr>
    </w:lvl>
    <w:lvl w:ilvl="8" w:tplc="C268C6F2" w:tentative="1">
      <w:start w:val="1"/>
      <w:numFmt w:val="bullet"/>
      <w:lvlText w:val=""/>
      <w:lvlJc w:val="left"/>
      <w:pPr>
        <w:ind w:left="7188" w:hanging="360"/>
      </w:pPr>
      <w:rPr>
        <w:rFonts w:ascii="Wingdings" w:hAnsi="Wingdings" w:hint="default"/>
      </w:rPr>
    </w:lvl>
  </w:abstractNum>
  <w:num w:numId="1">
    <w:abstractNumId w:val="9"/>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2"/>
  </w:num>
  <w:num w:numId="6">
    <w:abstractNumId w:val="11"/>
  </w:num>
  <w:num w:numId="7">
    <w:abstractNumId w:val="12"/>
  </w:num>
  <w:num w:numId="8">
    <w:abstractNumId w:val="8"/>
  </w:num>
  <w:num w:numId="9">
    <w:abstractNumId w:val="0"/>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6"/>
  </w:num>
  <w:num w:numId="14">
    <w:abstractNumId w:val="1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6"/>
  <w:proofState w:spelling="clean" w:grammar="clean"/>
  <w:defaultTabStop w:val="708"/>
  <w:hyphenationZone w:val="425"/>
  <w:characterSpacingControl w:val="doNotCompress"/>
  <w:hdrShapeDefaults>
    <o:shapedefaults v:ext="edit" spidmax="51201"/>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644"/>
    <w:rsid w:val="00000025"/>
    <w:rsid w:val="00000030"/>
    <w:rsid w:val="000006F3"/>
    <w:rsid w:val="0000411C"/>
    <w:rsid w:val="00013553"/>
    <w:rsid w:val="00014266"/>
    <w:rsid w:val="000143E4"/>
    <w:rsid w:val="00014BFE"/>
    <w:rsid w:val="00020100"/>
    <w:rsid w:val="00020C9B"/>
    <w:rsid w:val="00021D5B"/>
    <w:rsid w:val="00022B90"/>
    <w:rsid w:val="00026859"/>
    <w:rsid w:val="00027ED6"/>
    <w:rsid w:val="000307F9"/>
    <w:rsid w:val="0003124C"/>
    <w:rsid w:val="00031B49"/>
    <w:rsid w:val="0003443C"/>
    <w:rsid w:val="000357E7"/>
    <w:rsid w:val="0003652F"/>
    <w:rsid w:val="0003653E"/>
    <w:rsid w:val="00037FBD"/>
    <w:rsid w:val="00040FB0"/>
    <w:rsid w:val="00044304"/>
    <w:rsid w:val="00044C56"/>
    <w:rsid w:val="00053886"/>
    <w:rsid w:val="000542E2"/>
    <w:rsid w:val="00055DFE"/>
    <w:rsid w:val="000564D1"/>
    <w:rsid w:val="00056982"/>
    <w:rsid w:val="00060BE5"/>
    <w:rsid w:val="00062672"/>
    <w:rsid w:val="00062A75"/>
    <w:rsid w:val="000631B5"/>
    <w:rsid w:val="00063524"/>
    <w:rsid w:val="00063610"/>
    <w:rsid w:val="0006716D"/>
    <w:rsid w:val="000707BF"/>
    <w:rsid w:val="00070C05"/>
    <w:rsid w:val="00070D19"/>
    <w:rsid w:val="00072531"/>
    <w:rsid w:val="00072847"/>
    <w:rsid w:val="00081650"/>
    <w:rsid w:val="00082237"/>
    <w:rsid w:val="0008264A"/>
    <w:rsid w:val="00083520"/>
    <w:rsid w:val="0008698A"/>
    <w:rsid w:val="00092719"/>
    <w:rsid w:val="000943BE"/>
    <w:rsid w:val="000A2134"/>
    <w:rsid w:val="000A221F"/>
    <w:rsid w:val="000A28F8"/>
    <w:rsid w:val="000A36ED"/>
    <w:rsid w:val="000A6792"/>
    <w:rsid w:val="000B10D5"/>
    <w:rsid w:val="000C2D95"/>
    <w:rsid w:val="000C7B31"/>
    <w:rsid w:val="000D13A3"/>
    <w:rsid w:val="000D20A7"/>
    <w:rsid w:val="000D2265"/>
    <w:rsid w:val="000D2BED"/>
    <w:rsid w:val="000D52B8"/>
    <w:rsid w:val="000D54A9"/>
    <w:rsid w:val="000D6C9B"/>
    <w:rsid w:val="000D719D"/>
    <w:rsid w:val="000E0D07"/>
    <w:rsid w:val="000E11B2"/>
    <w:rsid w:val="000E178B"/>
    <w:rsid w:val="000E4864"/>
    <w:rsid w:val="000E6AD2"/>
    <w:rsid w:val="000F05E1"/>
    <w:rsid w:val="000F22F5"/>
    <w:rsid w:val="000F3BAB"/>
    <w:rsid w:val="000F5EFE"/>
    <w:rsid w:val="000F6119"/>
    <w:rsid w:val="000F6CE5"/>
    <w:rsid w:val="000F6FCC"/>
    <w:rsid w:val="001002E7"/>
    <w:rsid w:val="00101690"/>
    <w:rsid w:val="00104A52"/>
    <w:rsid w:val="00120456"/>
    <w:rsid w:val="00121D42"/>
    <w:rsid w:val="00123EA2"/>
    <w:rsid w:val="0012458F"/>
    <w:rsid w:val="00124CD8"/>
    <w:rsid w:val="00126FE7"/>
    <w:rsid w:val="00127A5A"/>
    <w:rsid w:val="00131903"/>
    <w:rsid w:val="00131C9A"/>
    <w:rsid w:val="00132B78"/>
    <w:rsid w:val="001343D5"/>
    <w:rsid w:val="00135339"/>
    <w:rsid w:val="00135B79"/>
    <w:rsid w:val="001400E1"/>
    <w:rsid w:val="001447F3"/>
    <w:rsid w:val="001476D3"/>
    <w:rsid w:val="00147EB4"/>
    <w:rsid w:val="0015049B"/>
    <w:rsid w:val="00150629"/>
    <w:rsid w:val="0015171D"/>
    <w:rsid w:val="00153261"/>
    <w:rsid w:val="001542DA"/>
    <w:rsid w:val="00162255"/>
    <w:rsid w:val="0016325B"/>
    <w:rsid w:val="001639A4"/>
    <w:rsid w:val="00166132"/>
    <w:rsid w:val="00166553"/>
    <w:rsid w:val="00167A7E"/>
    <w:rsid w:val="001724C3"/>
    <w:rsid w:val="001748AE"/>
    <w:rsid w:val="00176217"/>
    <w:rsid w:val="00177DFB"/>
    <w:rsid w:val="00184E72"/>
    <w:rsid w:val="00184E82"/>
    <w:rsid w:val="00185AB0"/>
    <w:rsid w:val="001874BF"/>
    <w:rsid w:val="001951D1"/>
    <w:rsid w:val="00195496"/>
    <w:rsid w:val="00195907"/>
    <w:rsid w:val="001A3109"/>
    <w:rsid w:val="001A6B27"/>
    <w:rsid w:val="001B1381"/>
    <w:rsid w:val="001B16CA"/>
    <w:rsid w:val="001B33EF"/>
    <w:rsid w:val="001B590F"/>
    <w:rsid w:val="001C0640"/>
    <w:rsid w:val="001C1B67"/>
    <w:rsid w:val="001C3CB8"/>
    <w:rsid w:val="001C3F76"/>
    <w:rsid w:val="001C457D"/>
    <w:rsid w:val="001C472A"/>
    <w:rsid w:val="001C4926"/>
    <w:rsid w:val="001C52C2"/>
    <w:rsid w:val="001C5CEB"/>
    <w:rsid w:val="001C6A0A"/>
    <w:rsid w:val="001D5D5F"/>
    <w:rsid w:val="001D66DE"/>
    <w:rsid w:val="001E0A07"/>
    <w:rsid w:val="001E18F1"/>
    <w:rsid w:val="001E2D45"/>
    <w:rsid w:val="001E42D3"/>
    <w:rsid w:val="001E4841"/>
    <w:rsid w:val="001E49FC"/>
    <w:rsid w:val="001E5113"/>
    <w:rsid w:val="001E5538"/>
    <w:rsid w:val="001E5882"/>
    <w:rsid w:val="001E6519"/>
    <w:rsid w:val="001F1E8D"/>
    <w:rsid w:val="001F29CF"/>
    <w:rsid w:val="001F2F56"/>
    <w:rsid w:val="001F38AE"/>
    <w:rsid w:val="001F4C8C"/>
    <w:rsid w:val="001F520B"/>
    <w:rsid w:val="001F5540"/>
    <w:rsid w:val="001F5A22"/>
    <w:rsid w:val="001F6B48"/>
    <w:rsid w:val="002051BE"/>
    <w:rsid w:val="00210C07"/>
    <w:rsid w:val="00211B4E"/>
    <w:rsid w:val="00211B91"/>
    <w:rsid w:val="00211EB9"/>
    <w:rsid w:val="00212737"/>
    <w:rsid w:val="00212BEA"/>
    <w:rsid w:val="002174ED"/>
    <w:rsid w:val="00221BEA"/>
    <w:rsid w:val="002229ED"/>
    <w:rsid w:val="002233EF"/>
    <w:rsid w:val="0022351E"/>
    <w:rsid w:val="00225F65"/>
    <w:rsid w:val="00227FA6"/>
    <w:rsid w:val="00231FB5"/>
    <w:rsid w:val="0023470B"/>
    <w:rsid w:val="002347D9"/>
    <w:rsid w:val="00236B76"/>
    <w:rsid w:val="002421A3"/>
    <w:rsid w:val="00242F18"/>
    <w:rsid w:val="00245125"/>
    <w:rsid w:val="0025044F"/>
    <w:rsid w:val="00251C39"/>
    <w:rsid w:val="00254A22"/>
    <w:rsid w:val="00254A2B"/>
    <w:rsid w:val="002553B7"/>
    <w:rsid w:val="0025542B"/>
    <w:rsid w:val="00257360"/>
    <w:rsid w:val="00257706"/>
    <w:rsid w:val="00264966"/>
    <w:rsid w:val="00264A02"/>
    <w:rsid w:val="0027007D"/>
    <w:rsid w:val="0027067B"/>
    <w:rsid w:val="002709F6"/>
    <w:rsid w:val="00273B8A"/>
    <w:rsid w:val="00274D6A"/>
    <w:rsid w:val="002768E6"/>
    <w:rsid w:val="00276B84"/>
    <w:rsid w:val="00284890"/>
    <w:rsid w:val="002850A6"/>
    <w:rsid w:val="0028595C"/>
    <w:rsid w:val="00287439"/>
    <w:rsid w:val="00287E8F"/>
    <w:rsid w:val="00292D61"/>
    <w:rsid w:val="00293B3D"/>
    <w:rsid w:val="00293BB5"/>
    <w:rsid w:val="00294FD1"/>
    <w:rsid w:val="00295D71"/>
    <w:rsid w:val="00295E51"/>
    <w:rsid w:val="002A0596"/>
    <w:rsid w:val="002A21C1"/>
    <w:rsid w:val="002A3982"/>
    <w:rsid w:val="002A77C3"/>
    <w:rsid w:val="002B137C"/>
    <w:rsid w:val="002B15E4"/>
    <w:rsid w:val="002B1968"/>
    <w:rsid w:val="002B234F"/>
    <w:rsid w:val="002C010F"/>
    <w:rsid w:val="002C167A"/>
    <w:rsid w:val="002C3B84"/>
    <w:rsid w:val="002C6987"/>
    <w:rsid w:val="002C6A1C"/>
    <w:rsid w:val="002C7DCC"/>
    <w:rsid w:val="002D0D4B"/>
    <w:rsid w:val="002D5B3B"/>
    <w:rsid w:val="002D6F9F"/>
    <w:rsid w:val="002E2992"/>
    <w:rsid w:val="002E69C3"/>
    <w:rsid w:val="003018D8"/>
    <w:rsid w:val="00302191"/>
    <w:rsid w:val="003031BA"/>
    <w:rsid w:val="003044A1"/>
    <w:rsid w:val="00307916"/>
    <w:rsid w:val="00310C4C"/>
    <w:rsid w:val="0031127E"/>
    <w:rsid w:val="0031303B"/>
    <w:rsid w:val="00313C0E"/>
    <w:rsid w:val="003150DC"/>
    <w:rsid w:val="00315661"/>
    <w:rsid w:val="00316D19"/>
    <w:rsid w:val="00317181"/>
    <w:rsid w:val="0031784A"/>
    <w:rsid w:val="003210EE"/>
    <w:rsid w:val="00321B22"/>
    <w:rsid w:val="00321D6E"/>
    <w:rsid w:val="00323457"/>
    <w:rsid w:val="003250B2"/>
    <w:rsid w:val="00325440"/>
    <w:rsid w:val="003266A3"/>
    <w:rsid w:val="003307CC"/>
    <w:rsid w:val="00332F9E"/>
    <w:rsid w:val="0034415E"/>
    <w:rsid w:val="00345399"/>
    <w:rsid w:val="00345BD1"/>
    <w:rsid w:val="003514E1"/>
    <w:rsid w:val="0035285C"/>
    <w:rsid w:val="00353CE0"/>
    <w:rsid w:val="00355F39"/>
    <w:rsid w:val="003574EC"/>
    <w:rsid w:val="003616F7"/>
    <w:rsid w:val="00361762"/>
    <w:rsid w:val="003618AD"/>
    <w:rsid w:val="00363DB6"/>
    <w:rsid w:val="00364081"/>
    <w:rsid w:val="00365837"/>
    <w:rsid w:val="003670BF"/>
    <w:rsid w:val="00371960"/>
    <w:rsid w:val="00377D2B"/>
    <w:rsid w:val="003802F3"/>
    <w:rsid w:val="003811AC"/>
    <w:rsid w:val="00382E3E"/>
    <w:rsid w:val="0038433C"/>
    <w:rsid w:val="00384A5D"/>
    <w:rsid w:val="00384F9F"/>
    <w:rsid w:val="003860C7"/>
    <w:rsid w:val="0038776D"/>
    <w:rsid w:val="00390A14"/>
    <w:rsid w:val="003A2E14"/>
    <w:rsid w:val="003A4E80"/>
    <w:rsid w:val="003A6908"/>
    <w:rsid w:val="003A6CC4"/>
    <w:rsid w:val="003B04CC"/>
    <w:rsid w:val="003B5624"/>
    <w:rsid w:val="003B5E06"/>
    <w:rsid w:val="003B5E39"/>
    <w:rsid w:val="003B655D"/>
    <w:rsid w:val="003B6AE1"/>
    <w:rsid w:val="003C1009"/>
    <w:rsid w:val="003C11DF"/>
    <w:rsid w:val="003C13E7"/>
    <w:rsid w:val="003C2504"/>
    <w:rsid w:val="003D0BB2"/>
    <w:rsid w:val="003D35D7"/>
    <w:rsid w:val="003D3830"/>
    <w:rsid w:val="003D4546"/>
    <w:rsid w:val="003D5628"/>
    <w:rsid w:val="003D661C"/>
    <w:rsid w:val="003E3F6B"/>
    <w:rsid w:val="003E4021"/>
    <w:rsid w:val="003E4825"/>
    <w:rsid w:val="003E5B09"/>
    <w:rsid w:val="003F10EB"/>
    <w:rsid w:val="003F1AD8"/>
    <w:rsid w:val="003F1B0A"/>
    <w:rsid w:val="003F564F"/>
    <w:rsid w:val="003F5F8C"/>
    <w:rsid w:val="00403A05"/>
    <w:rsid w:val="00406395"/>
    <w:rsid w:val="00414844"/>
    <w:rsid w:val="00414B41"/>
    <w:rsid w:val="0041626E"/>
    <w:rsid w:val="00416D42"/>
    <w:rsid w:val="004215FA"/>
    <w:rsid w:val="004218C1"/>
    <w:rsid w:val="00425424"/>
    <w:rsid w:val="004266C6"/>
    <w:rsid w:val="0043224B"/>
    <w:rsid w:val="00432944"/>
    <w:rsid w:val="00432DAB"/>
    <w:rsid w:val="00434E61"/>
    <w:rsid w:val="00436F31"/>
    <w:rsid w:val="00437625"/>
    <w:rsid w:val="0044050C"/>
    <w:rsid w:val="00442564"/>
    <w:rsid w:val="00443364"/>
    <w:rsid w:val="00444098"/>
    <w:rsid w:val="00444385"/>
    <w:rsid w:val="004453E4"/>
    <w:rsid w:val="00446440"/>
    <w:rsid w:val="00446D98"/>
    <w:rsid w:val="00450AF4"/>
    <w:rsid w:val="00453B1F"/>
    <w:rsid w:val="00454F99"/>
    <w:rsid w:val="0045521C"/>
    <w:rsid w:val="00455EDD"/>
    <w:rsid w:val="0045760D"/>
    <w:rsid w:val="0046044D"/>
    <w:rsid w:val="004614EC"/>
    <w:rsid w:val="004638D1"/>
    <w:rsid w:val="0046533A"/>
    <w:rsid w:val="00465858"/>
    <w:rsid w:val="00465B54"/>
    <w:rsid w:val="00471BE8"/>
    <w:rsid w:val="00471D7E"/>
    <w:rsid w:val="0047218F"/>
    <w:rsid w:val="00472E78"/>
    <w:rsid w:val="00473FB5"/>
    <w:rsid w:val="00474C01"/>
    <w:rsid w:val="0047505C"/>
    <w:rsid w:val="004801B5"/>
    <w:rsid w:val="00480716"/>
    <w:rsid w:val="004807AA"/>
    <w:rsid w:val="00481818"/>
    <w:rsid w:val="00482620"/>
    <w:rsid w:val="0048515D"/>
    <w:rsid w:val="00485280"/>
    <w:rsid w:val="00485F63"/>
    <w:rsid w:val="0049004D"/>
    <w:rsid w:val="004900F7"/>
    <w:rsid w:val="004915E9"/>
    <w:rsid w:val="00491B6A"/>
    <w:rsid w:val="00493221"/>
    <w:rsid w:val="004941C2"/>
    <w:rsid w:val="004942CD"/>
    <w:rsid w:val="004959BD"/>
    <w:rsid w:val="00496BDF"/>
    <w:rsid w:val="00497F1B"/>
    <w:rsid w:val="004A052F"/>
    <w:rsid w:val="004A2240"/>
    <w:rsid w:val="004A4BCD"/>
    <w:rsid w:val="004A5EEB"/>
    <w:rsid w:val="004A6F14"/>
    <w:rsid w:val="004B1335"/>
    <w:rsid w:val="004B1FC5"/>
    <w:rsid w:val="004B22B8"/>
    <w:rsid w:val="004B23A0"/>
    <w:rsid w:val="004B2F99"/>
    <w:rsid w:val="004B3D30"/>
    <w:rsid w:val="004B4041"/>
    <w:rsid w:val="004B41C0"/>
    <w:rsid w:val="004B5522"/>
    <w:rsid w:val="004B56BC"/>
    <w:rsid w:val="004B5FB6"/>
    <w:rsid w:val="004C0D41"/>
    <w:rsid w:val="004C4414"/>
    <w:rsid w:val="004C59A1"/>
    <w:rsid w:val="004C683D"/>
    <w:rsid w:val="004D27AC"/>
    <w:rsid w:val="004E30FB"/>
    <w:rsid w:val="004E5554"/>
    <w:rsid w:val="004E6BFF"/>
    <w:rsid w:val="004E7C99"/>
    <w:rsid w:val="004F0587"/>
    <w:rsid w:val="004F2A1C"/>
    <w:rsid w:val="004F6C69"/>
    <w:rsid w:val="005001E7"/>
    <w:rsid w:val="00502187"/>
    <w:rsid w:val="005061F5"/>
    <w:rsid w:val="00506C08"/>
    <w:rsid w:val="00507B09"/>
    <w:rsid w:val="005111AC"/>
    <w:rsid w:val="00515602"/>
    <w:rsid w:val="005226BD"/>
    <w:rsid w:val="00531E6A"/>
    <w:rsid w:val="00532672"/>
    <w:rsid w:val="00534C79"/>
    <w:rsid w:val="00535648"/>
    <w:rsid w:val="00536D92"/>
    <w:rsid w:val="005373B7"/>
    <w:rsid w:val="00537A37"/>
    <w:rsid w:val="00542069"/>
    <w:rsid w:val="00543FC2"/>
    <w:rsid w:val="00544F7F"/>
    <w:rsid w:val="005456E1"/>
    <w:rsid w:val="005532A7"/>
    <w:rsid w:val="00554283"/>
    <w:rsid w:val="00554E65"/>
    <w:rsid w:val="00556A3A"/>
    <w:rsid w:val="00556B29"/>
    <w:rsid w:val="005603C7"/>
    <w:rsid w:val="005629CF"/>
    <w:rsid w:val="00563DF8"/>
    <w:rsid w:val="00564125"/>
    <w:rsid w:val="005654C1"/>
    <w:rsid w:val="00565CA7"/>
    <w:rsid w:val="00565EF2"/>
    <w:rsid w:val="0056621B"/>
    <w:rsid w:val="00566637"/>
    <w:rsid w:val="0056799F"/>
    <w:rsid w:val="00570DA2"/>
    <w:rsid w:val="00574855"/>
    <w:rsid w:val="005748E2"/>
    <w:rsid w:val="00577FCD"/>
    <w:rsid w:val="00580007"/>
    <w:rsid w:val="00581DCF"/>
    <w:rsid w:val="00582789"/>
    <w:rsid w:val="00582F3D"/>
    <w:rsid w:val="00584DC8"/>
    <w:rsid w:val="005859A7"/>
    <w:rsid w:val="00585A84"/>
    <w:rsid w:val="0059048B"/>
    <w:rsid w:val="005913DE"/>
    <w:rsid w:val="0059180E"/>
    <w:rsid w:val="00591B8C"/>
    <w:rsid w:val="005928FC"/>
    <w:rsid w:val="005929E3"/>
    <w:rsid w:val="00592BF4"/>
    <w:rsid w:val="005936A1"/>
    <w:rsid w:val="00594DCB"/>
    <w:rsid w:val="00596EA2"/>
    <w:rsid w:val="005A41D3"/>
    <w:rsid w:val="005A5009"/>
    <w:rsid w:val="005A7D87"/>
    <w:rsid w:val="005B0061"/>
    <w:rsid w:val="005B14A0"/>
    <w:rsid w:val="005B40F6"/>
    <w:rsid w:val="005B5766"/>
    <w:rsid w:val="005B5A1D"/>
    <w:rsid w:val="005B5D93"/>
    <w:rsid w:val="005B68F3"/>
    <w:rsid w:val="005B706F"/>
    <w:rsid w:val="005C1977"/>
    <w:rsid w:val="005C20B6"/>
    <w:rsid w:val="005C3FC8"/>
    <w:rsid w:val="005C6003"/>
    <w:rsid w:val="005D27A7"/>
    <w:rsid w:val="005D3368"/>
    <w:rsid w:val="005D46D9"/>
    <w:rsid w:val="005D574E"/>
    <w:rsid w:val="005D5E86"/>
    <w:rsid w:val="005D76E7"/>
    <w:rsid w:val="005E42A8"/>
    <w:rsid w:val="005E62E4"/>
    <w:rsid w:val="005E671B"/>
    <w:rsid w:val="005E7D06"/>
    <w:rsid w:val="005F1E38"/>
    <w:rsid w:val="005F394E"/>
    <w:rsid w:val="005F4229"/>
    <w:rsid w:val="005F7CCE"/>
    <w:rsid w:val="00600EEF"/>
    <w:rsid w:val="00603CDC"/>
    <w:rsid w:val="0060470D"/>
    <w:rsid w:val="006060F0"/>
    <w:rsid w:val="00610FD1"/>
    <w:rsid w:val="006111F5"/>
    <w:rsid w:val="0061323C"/>
    <w:rsid w:val="00616A19"/>
    <w:rsid w:val="00617043"/>
    <w:rsid w:val="00617321"/>
    <w:rsid w:val="00617802"/>
    <w:rsid w:val="0062015D"/>
    <w:rsid w:val="0062077F"/>
    <w:rsid w:val="0062529A"/>
    <w:rsid w:val="006271F0"/>
    <w:rsid w:val="00627C9F"/>
    <w:rsid w:val="006301E3"/>
    <w:rsid w:val="006306AA"/>
    <w:rsid w:val="006318F3"/>
    <w:rsid w:val="00632C61"/>
    <w:rsid w:val="00636517"/>
    <w:rsid w:val="006365C0"/>
    <w:rsid w:val="006372C7"/>
    <w:rsid w:val="0064007B"/>
    <w:rsid w:val="006400DC"/>
    <w:rsid w:val="0065286C"/>
    <w:rsid w:val="00653141"/>
    <w:rsid w:val="00655EF3"/>
    <w:rsid w:val="006571B6"/>
    <w:rsid w:val="006610A5"/>
    <w:rsid w:val="006615C0"/>
    <w:rsid w:val="0066211D"/>
    <w:rsid w:val="00662FEF"/>
    <w:rsid w:val="006633A9"/>
    <w:rsid w:val="00663D57"/>
    <w:rsid w:val="00664CC0"/>
    <w:rsid w:val="006704B1"/>
    <w:rsid w:val="00670955"/>
    <w:rsid w:val="00670D37"/>
    <w:rsid w:val="00671B9A"/>
    <w:rsid w:val="006720A0"/>
    <w:rsid w:val="00675BCE"/>
    <w:rsid w:val="006765B2"/>
    <w:rsid w:val="00677FDC"/>
    <w:rsid w:val="00682809"/>
    <w:rsid w:val="00682C9C"/>
    <w:rsid w:val="00682D7B"/>
    <w:rsid w:val="00682FA7"/>
    <w:rsid w:val="00683BF8"/>
    <w:rsid w:val="0068533A"/>
    <w:rsid w:val="00687FCB"/>
    <w:rsid w:val="00690E21"/>
    <w:rsid w:val="00692F58"/>
    <w:rsid w:val="00693518"/>
    <w:rsid w:val="00697893"/>
    <w:rsid w:val="00697F1E"/>
    <w:rsid w:val="006A07FE"/>
    <w:rsid w:val="006A19D4"/>
    <w:rsid w:val="006A2072"/>
    <w:rsid w:val="006A27A6"/>
    <w:rsid w:val="006A5CC9"/>
    <w:rsid w:val="006A6054"/>
    <w:rsid w:val="006A616A"/>
    <w:rsid w:val="006B0E24"/>
    <w:rsid w:val="006B5DFB"/>
    <w:rsid w:val="006C00C2"/>
    <w:rsid w:val="006C0956"/>
    <w:rsid w:val="006C3C8C"/>
    <w:rsid w:val="006C4E91"/>
    <w:rsid w:val="006C5930"/>
    <w:rsid w:val="006D02D1"/>
    <w:rsid w:val="006D0704"/>
    <w:rsid w:val="006D1344"/>
    <w:rsid w:val="006D339B"/>
    <w:rsid w:val="006D4B60"/>
    <w:rsid w:val="006D6988"/>
    <w:rsid w:val="006E3DA5"/>
    <w:rsid w:val="006E4DD5"/>
    <w:rsid w:val="006E5A38"/>
    <w:rsid w:val="006F28E4"/>
    <w:rsid w:val="006F5F6C"/>
    <w:rsid w:val="006F6056"/>
    <w:rsid w:val="006F6125"/>
    <w:rsid w:val="006F77E1"/>
    <w:rsid w:val="00701182"/>
    <w:rsid w:val="0070162E"/>
    <w:rsid w:val="00702C76"/>
    <w:rsid w:val="00702F21"/>
    <w:rsid w:val="00703797"/>
    <w:rsid w:val="007043EF"/>
    <w:rsid w:val="00706A0C"/>
    <w:rsid w:val="0071082B"/>
    <w:rsid w:val="007125B8"/>
    <w:rsid w:val="00713FC2"/>
    <w:rsid w:val="0071544D"/>
    <w:rsid w:val="007157DF"/>
    <w:rsid w:val="0071615A"/>
    <w:rsid w:val="00717129"/>
    <w:rsid w:val="007227A0"/>
    <w:rsid w:val="00722B0F"/>
    <w:rsid w:val="00724C22"/>
    <w:rsid w:val="00730831"/>
    <w:rsid w:val="007312FA"/>
    <w:rsid w:val="00733EDA"/>
    <w:rsid w:val="00734F1C"/>
    <w:rsid w:val="007371AC"/>
    <w:rsid w:val="0073754B"/>
    <w:rsid w:val="007406BE"/>
    <w:rsid w:val="007423CC"/>
    <w:rsid w:val="00744E03"/>
    <w:rsid w:val="00747029"/>
    <w:rsid w:val="0075016A"/>
    <w:rsid w:val="007504AE"/>
    <w:rsid w:val="0075257A"/>
    <w:rsid w:val="00753BA8"/>
    <w:rsid w:val="00754613"/>
    <w:rsid w:val="00754FA4"/>
    <w:rsid w:val="00755AB8"/>
    <w:rsid w:val="0076012C"/>
    <w:rsid w:val="00767771"/>
    <w:rsid w:val="007701BD"/>
    <w:rsid w:val="00771530"/>
    <w:rsid w:val="00773E63"/>
    <w:rsid w:val="007803D1"/>
    <w:rsid w:val="00781318"/>
    <w:rsid w:val="00784DB3"/>
    <w:rsid w:val="007862B1"/>
    <w:rsid w:val="007866B1"/>
    <w:rsid w:val="007868FF"/>
    <w:rsid w:val="00786B3E"/>
    <w:rsid w:val="007952CC"/>
    <w:rsid w:val="00796A39"/>
    <w:rsid w:val="007A3141"/>
    <w:rsid w:val="007A3417"/>
    <w:rsid w:val="007A41ED"/>
    <w:rsid w:val="007A514E"/>
    <w:rsid w:val="007A627C"/>
    <w:rsid w:val="007A6A5D"/>
    <w:rsid w:val="007B0D9E"/>
    <w:rsid w:val="007B0FCB"/>
    <w:rsid w:val="007B4E82"/>
    <w:rsid w:val="007B4FF5"/>
    <w:rsid w:val="007B5316"/>
    <w:rsid w:val="007B6AAF"/>
    <w:rsid w:val="007C00BE"/>
    <w:rsid w:val="007C09C3"/>
    <w:rsid w:val="007C30C2"/>
    <w:rsid w:val="007C605B"/>
    <w:rsid w:val="007C699E"/>
    <w:rsid w:val="007D0218"/>
    <w:rsid w:val="007D251C"/>
    <w:rsid w:val="007D4798"/>
    <w:rsid w:val="007D579C"/>
    <w:rsid w:val="007D6226"/>
    <w:rsid w:val="007D6427"/>
    <w:rsid w:val="007D71FE"/>
    <w:rsid w:val="007D78B8"/>
    <w:rsid w:val="007E014C"/>
    <w:rsid w:val="007E21C8"/>
    <w:rsid w:val="007E2A6D"/>
    <w:rsid w:val="007E4D2C"/>
    <w:rsid w:val="007E5399"/>
    <w:rsid w:val="007E5E2C"/>
    <w:rsid w:val="007E7814"/>
    <w:rsid w:val="007F1D78"/>
    <w:rsid w:val="007F3E08"/>
    <w:rsid w:val="007F6B65"/>
    <w:rsid w:val="007F7ED4"/>
    <w:rsid w:val="007F7ED6"/>
    <w:rsid w:val="0080207E"/>
    <w:rsid w:val="00803045"/>
    <w:rsid w:val="008044BF"/>
    <w:rsid w:val="00804792"/>
    <w:rsid w:val="00804E7E"/>
    <w:rsid w:val="00807645"/>
    <w:rsid w:val="008109F5"/>
    <w:rsid w:val="00810A80"/>
    <w:rsid w:val="0081116F"/>
    <w:rsid w:val="00812A36"/>
    <w:rsid w:val="00812E69"/>
    <w:rsid w:val="00813133"/>
    <w:rsid w:val="00813550"/>
    <w:rsid w:val="00814232"/>
    <w:rsid w:val="00814EE6"/>
    <w:rsid w:val="00815668"/>
    <w:rsid w:val="0081580A"/>
    <w:rsid w:val="00816EA2"/>
    <w:rsid w:val="008175C9"/>
    <w:rsid w:val="008203E6"/>
    <w:rsid w:val="00821E72"/>
    <w:rsid w:val="00822962"/>
    <w:rsid w:val="00822F9E"/>
    <w:rsid w:val="00824D9F"/>
    <w:rsid w:val="0083092E"/>
    <w:rsid w:val="00832C44"/>
    <w:rsid w:val="00833702"/>
    <w:rsid w:val="0083596F"/>
    <w:rsid w:val="0083692A"/>
    <w:rsid w:val="00836F59"/>
    <w:rsid w:val="008370C8"/>
    <w:rsid w:val="00844A2C"/>
    <w:rsid w:val="0084740C"/>
    <w:rsid w:val="00850363"/>
    <w:rsid w:val="00852667"/>
    <w:rsid w:val="00854D9D"/>
    <w:rsid w:val="00855A79"/>
    <w:rsid w:val="00856FD0"/>
    <w:rsid w:val="00857889"/>
    <w:rsid w:val="00857DB5"/>
    <w:rsid w:val="00862CB9"/>
    <w:rsid w:val="00862F81"/>
    <w:rsid w:val="0086351B"/>
    <w:rsid w:val="00863ED4"/>
    <w:rsid w:val="00871D41"/>
    <w:rsid w:val="008779F0"/>
    <w:rsid w:val="00882147"/>
    <w:rsid w:val="0088546A"/>
    <w:rsid w:val="00890390"/>
    <w:rsid w:val="00892C31"/>
    <w:rsid w:val="00893C51"/>
    <w:rsid w:val="00893C78"/>
    <w:rsid w:val="00895AD7"/>
    <w:rsid w:val="0089671B"/>
    <w:rsid w:val="008A45C3"/>
    <w:rsid w:val="008A4645"/>
    <w:rsid w:val="008A6650"/>
    <w:rsid w:val="008A674E"/>
    <w:rsid w:val="008B2406"/>
    <w:rsid w:val="008B2BD0"/>
    <w:rsid w:val="008B4C87"/>
    <w:rsid w:val="008B6F70"/>
    <w:rsid w:val="008C018D"/>
    <w:rsid w:val="008C088D"/>
    <w:rsid w:val="008C2068"/>
    <w:rsid w:val="008C393D"/>
    <w:rsid w:val="008C7262"/>
    <w:rsid w:val="008C7CBF"/>
    <w:rsid w:val="008D0B5C"/>
    <w:rsid w:val="008D11E7"/>
    <w:rsid w:val="008D12CF"/>
    <w:rsid w:val="008D3E02"/>
    <w:rsid w:val="008D5006"/>
    <w:rsid w:val="008D6890"/>
    <w:rsid w:val="008E043E"/>
    <w:rsid w:val="008E2807"/>
    <w:rsid w:val="008E4437"/>
    <w:rsid w:val="008E46C4"/>
    <w:rsid w:val="008F1E23"/>
    <w:rsid w:val="008F28F4"/>
    <w:rsid w:val="008F6FBD"/>
    <w:rsid w:val="0090009F"/>
    <w:rsid w:val="00900150"/>
    <w:rsid w:val="009017A9"/>
    <w:rsid w:val="009079F1"/>
    <w:rsid w:val="00910926"/>
    <w:rsid w:val="00911B2D"/>
    <w:rsid w:val="009130CF"/>
    <w:rsid w:val="00915186"/>
    <w:rsid w:val="009173D5"/>
    <w:rsid w:val="009213F8"/>
    <w:rsid w:val="00922192"/>
    <w:rsid w:val="009239FF"/>
    <w:rsid w:val="00926E5A"/>
    <w:rsid w:val="009310E3"/>
    <w:rsid w:val="00931C42"/>
    <w:rsid w:val="009320A0"/>
    <w:rsid w:val="009332D3"/>
    <w:rsid w:val="009339CD"/>
    <w:rsid w:val="00933B87"/>
    <w:rsid w:val="00935F2A"/>
    <w:rsid w:val="00937261"/>
    <w:rsid w:val="009372A8"/>
    <w:rsid w:val="00937D79"/>
    <w:rsid w:val="00937E43"/>
    <w:rsid w:val="009419F6"/>
    <w:rsid w:val="00941B0B"/>
    <w:rsid w:val="00942C93"/>
    <w:rsid w:val="00943524"/>
    <w:rsid w:val="00946DB2"/>
    <w:rsid w:val="009474DB"/>
    <w:rsid w:val="00947799"/>
    <w:rsid w:val="009504AF"/>
    <w:rsid w:val="0095368E"/>
    <w:rsid w:val="00953A8E"/>
    <w:rsid w:val="00955A42"/>
    <w:rsid w:val="009578A4"/>
    <w:rsid w:val="0096122E"/>
    <w:rsid w:val="00962002"/>
    <w:rsid w:val="00967C96"/>
    <w:rsid w:val="00970092"/>
    <w:rsid w:val="0097059A"/>
    <w:rsid w:val="00970BF6"/>
    <w:rsid w:val="00970CBB"/>
    <w:rsid w:val="00970E2B"/>
    <w:rsid w:val="00977ED5"/>
    <w:rsid w:val="00983532"/>
    <w:rsid w:val="009842A6"/>
    <w:rsid w:val="00984895"/>
    <w:rsid w:val="00985047"/>
    <w:rsid w:val="0098699B"/>
    <w:rsid w:val="0098750D"/>
    <w:rsid w:val="009902C0"/>
    <w:rsid w:val="00990A4D"/>
    <w:rsid w:val="0099233C"/>
    <w:rsid w:val="0099521C"/>
    <w:rsid w:val="009A50F7"/>
    <w:rsid w:val="009A5588"/>
    <w:rsid w:val="009B1421"/>
    <w:rsid w:val="009B228A"/>
    <w:rsid w:val="009B3922"/>
    <w:rsid w:val="009B41B7"/>
    <w:rsid w:val="009B6707"/>
    <w:rsid w:val="009C389D"/>
    <w:rsid w:val="009C424C"/>
    <w:rsid w:val="009C4E15"/>
    <w:rsid w:val="009D1B90"/>
    <w:rsid w:val="009D2F8D"/>
    <w:rsid w:val="009D2FA5"/>
    <w:rsid w:val="009D4D8C"/>
    <w:rsid w:val="009D623D"/>
    <w:rsid w:val="009E058D"/>
    <w:rsid w:val="009E101F"/>
    <w:rsid w:val="009E1E12"/>
    <w:rsid w:val="009E2224"/>
    <w:rsid w:val="009E4883"/>
    <w:rsid w:val="009E49FC"/>
    <w:rsid w:val="009E4AEB"/>
    <w:rsid w:val="009E73AD"/>
    <w:rsid w:val="009F1297"/>
    <w:rsid w:val="009F1759"/>
    <w:rsid w:val="009F3238"/>
    <w:rsid w:val="009F55E3"/>
    <w:rsid w:val="00A00568"/>
    <w:rsid w:val="00A00A46"/>
    <w:rsid w:val="00A019D6"/>
    <w:rsid w:val="00A04EC1"/>
    <w:rsid w:val="00A051B7"/>
    <w:rsid w:val="00A071EB"/>
    <w:rsid w:val="00A10014"/>
    <w:rsid w:val="00A12AC5"/>
    <w:rsid w:val="00A12DE5"/>
    <w:rsid w:val="00A1395E"/>
    <w:rsid w:val="00A13E27"/>
    <w:rsid w:val="00A15551"/>
    <w:rsid w:val="00A1568A"/>
    <w:rsid w:val="00A1677A"/>
    <w:rsid w:val="00A171B7"/>
    <w:rsid w:val="00A20D8C"/>
    <w:rsid w:val="00A21910"/>
    <w:rsid w:val="00A23175"/>
    <w:rsid w:val="00A238EF"/>
    <w:rsid w:val="00A24375"/>
    <w:rsid w:val="00A25787"/>
    <w:rsid w:val="00A26A3D"/>
    <w:rsid w:val="00A26A94"/>
    <w:rsid w:val="00A30104"/>
    <w:rsid w:val="00A3111F"/>
    <w:rsid w:val="00A31188"/>
    <w:rsid w:val="00A33C75"/>
    <w:rsid w:val="00A348EE"/>
    <w:rsid w:val="00A352A5"/>
    <w:rsid w:val="00A3636E"/>
    <w:rsid w:val="00A41BBD"/>
    <w:rsid w:val="00A4438E"/>
    <w:rsid w:val="00A4570B"/>
    <w:rsid w:val="00A46AE2"/>
    <w:rsid w:val="00A47119"/>
    <w:rsid w:val="00A472D0"/>
    <w:rsid w:val="00A47C07"/>
    <w:rsid w:val="00A5368D"/>
    <w:rsid w:val="00A542E1"/>
    <w:rsid w:val="00A55910"/>
    <w:rsid w:val="00A5651B"/>
    <w:rsid w:val="00A57999"/>
    <w:rsid w:val="00A60887"/>
    <w:rsid w:val="00A61EAF"/>
    <w:rsid w:val="00A62B15"/>
    <w:rsid w:val="00A637BB"/>
    <w:rsid w:val="00A63D6C"/>
    <w:rsid w:val="00A6482C"/>
    <w:rsid w:val="00A65B37"/>
    <w:rsid w:val="00A673C2"/>
    <w:rsid w:val="00A728EA"/>
    <w:rsid w:val="00A80D8D"/>
    <w:rsid w:val="00A8303A"/>
    <w:rsid w:val="00A84569"/>
    <w:rsid w:val="00A8646D"/>
    <w:rsid w:val="00A86B70"/>
    <w:rsid w:val="00A93725"/>
    <w:rsid w:val="00AA1377"/>
    <w:rsid w:val="00AA588F"/>
    <w:rsid w:val="00AB0417"/>
    <w:rsid w:val="00AB04D9"/>
    <w:rsid w:val="00AB14E3"/>
    <w:rsid w:val="00AB3B8D"/>
    <w:rsid w:val="00AB3CF0"/>
    <w:rsid w:val="00AB74E4"/>
    <w:rsid w:val="00AC5654"/>
    <w:rsid w:val="00AC5BC6"/>
    <w:rsid w:val="00AD05AA"/>
    <w:rsid w:val="00AD12CC"/>
    <w:rsid w:val="00AD1C52"/>
    <w:rsid w:val="00AD3516"/>
    <w:rsid w:val="00AD5D57"/>
    <w:rsid w:val="00AD7228"/>
    <w:rsid w:val="00AD75E2"/>
    <w:rsid w:val="00AD7D9C"/>
    <w:rsid w:val="00AE1127"/>
    <w:rsid w:val="00AE3733"/>
    <w:rsid w:val="00AE3EC6"/>
    <w:rsid w:val="00AE4B3B"/>
    <w:rsid w:val="00AE7DAB"/>
    <w:rsid w:val="00AF1EA8"/>
    <w:rsid w:val="00B02B54"/>
    <w:rsid w:val="00B03C34"/>
    <w:rsid w:val="00B06A90"/>
    <w:rsid w:val="00B100BA"/>
    <w:rsid w:val="00B1027B"/>
    <w:rsid w:val="00B12492"/>
    <w:rsid w:val="00B12F6D"/>
    <w:rsid w:val="00B22699"/>
    <w:rsid w:val="00B26943"/>
    <w:rsid w:val="00B30257"/>
    <w:rsid w:val="00B40111"/>
    <w:rsid w:val="00B4273C"/>
    <w:rsid w:val="00B501ED"/>
    <w:rsid w:val="00B50421"/>
    <w:rsid w:val="00B50E29"/>
    <w:rsid w:val="00B5267E"/>
    <w:rsid w:val="00B57AE8"/>
    <w:rsid w:val="00B602C4"/>
    <w:rsid w:val="00B61992"/>
    <w:rsid w:val="00B6322A"/>
    <w:rsid w:val="00B63A48"/>
    <w:rsid w:val="00B64344"/>
    <w:rsid w:val="00B64844"/>
    <w:rsid w:val="00B75572"/>
    <w:rsid w:val="00B75D72"/>
    <w:rsid w:val="00B76D7D"/>
    <w:rsid w:val="00B810DB"/>
    <w:rsid w:val="00B81379"/>
    <w:rsid w:val="00B81632"/>
    <w:rsid w:val="00B81D15"/>
    <w:rsid w:val="00B81D7C"/>
    <w:rsid w:val="00B822EB"/>
    <w:rsid w:val="00B827E9"/>
    <w:rsid w:val="00B8485F"/>
    <w:rsid w:val="00B849C4"/>
    <w:rsid w:val="00B94D13"/>
    <w:rsid w:val="00B94F81"/>
    <w:rsid w:val="00B97A18"/>
    <w:rsid w:val="00B97EB1"/>
    <w:rsid w:val="00BA0C18"/>
    <w:rsid w:val="00BA208D"/>
    <w:rsid w:val="00BA2358"/>
    <w:rsid w:val="00BA29CF"/>
    <w:rsid w:val="00BA31A1"/>
    <w:rsid w:val="00BA378E"/>
    <w:rsid w:val="00BA3FBA"/>
    <w:rsid w:val="00BA56D7"/>
    <w:rsid w:val="00BA6339"/>
    <w:rsid w:val="00BA6C1D"/>
    <w:rsid w:val="00BB02B0"/>
    <w:rsid w:val="00BB0688"/>
    <w:rsid w:val="00BB1BFD"/>
    <w:rsid w:val="00BB28AE"/>
    <w:rsid w:val="00BB5BE0"/>
    <w:rsid w:val="00BB5D3C"/>
    <w:rsid w:val="00BB6462"/>
    <w:rsid w:val="00BB74E1"/>
    <w:rsid w:val="00BC03AA"/>
    <w:rsid w:val="00BC1F43"/>
    <w:rsid w:val="00BC2859"/>
    <w:rsid w:val="00BC3BB7"/>
    <w:rsid w:val="00BC3D53"/>
    <w:rsid w:val="00BC4392"/>
    <w:rsid w:val="00BC4942"/>
    <w:rsid w:val="00BC50C0"/>
    <w:rsid w:val="00BC5A33"/>
    <w:rsid w:val="00BC645B"/>
    <w:rsid w:val="00BD095B"/>
    <w:rsid w:val="00BD3E33"/>
    <w:rsid w:val="00BE03B4"/>
    <w:rsid w:val="00BE190D"/>
    <w:rsid w:val="00BE1FBC"/>
    <w:rsid w:val="00BE47D3"/>
    <w:rsid w:val="00BE4BB3"/>
    <w:rsid w:val="00BE4D2D"/>
    <w:rsid w:val="00BE5B74"/>
    <w:rsid w:val="00BE5BBF"/>
    <w:rsid w:val="00BE670D"/>
    <w:rsid w:val="00BE6A0B"/>
    <w:rsid w:val="00BE7269"/>
    <w:rsid w:val="00BE7CD0"/>
    <w:rsid w:val="00BF0548"/>
    <w:rsid w:val="00BF3B51"/>
    <w:rsid w:val="00BF3BAB"/>
    <w:rsid w:val="00BF446A"/>
    <w:rsid w:val="00BF6015"/>
    <w:rsid w:val="00BF789B"/>
    <w:rsid w:val="00C03D0C"/>
    <w:rsid w:val="00C06A63"/>
    <w:rsid w:val="00C10515"/>
    <w:rsid w:val="00C10E28"/>
    <w:rsid w:val="00C13644"/>
    <w:rsid w:val="00C13DA6"/>
    <w:rsid w:val="00C16FC7"/>
    <w:rsid w:val="00C27611"/>
    <w:rsid w:val="00C300CA"/>
    <w:rsid w:val="00C30B89"/>
    <w:rsid w:val="00C33817"/>
    <w:rsid w:val="00C33BC2"/>
    <w:rsid w:val="00C33BDF"/>
    <w:rsid w:val="00C3703A"/>
    <w:rsid w:val="00C41B6F"/>
    <w:rsid w:val="00C424CC"/>
    <w:rsid w:val="00C47A7E"/>
    <w:rsid w:val="00C546D0"/>
    <w:rsid w:val="00C55B02"/>
    <w:rsid w:val="00C574EB"/>
    <w:rsid w:val="00C600E9"/>
    <w:rsid w:val="00C60844"/>
    <w:rsid w:val="00C619E4"/>
    <w:rsid w:val="00C66306"/>
    <w:rsid w:val="00C664FB"/>
    <w:rsid w:val="00C66D93"/>
    <w:rsid w:val="00C67ABD"/>
    <w:rsid w:val="00C712B1"/>
    <w:rsid w:val="00C73D24"/>
    <w:rsid w:val="00C7556F"/>
    <w:rsid w:val="00C76850"/>
    <w:rsid w:val="00C836CC"/>
    <w:rsid w:val="00C84C8C"/>
    <w:rsid w:val="00C8639A"/>
    <w:rsid w:val="00C919E1"/>
    <w:rsid w:val="00C932AF"/>
    <w:rsid w:val="00C95CB5"/>
    <w:rsid w:val="00C96F96"/>
    <w:rsid w:val="00CA00DC"/>
    <w:rsid w:val="00CA02B2"/>
    <w:rsid w:val="00CA1445"/>
    <w:rsid w:val="00CA2B3F"/>
    <w:rsid w:val="00CA42F3"/>
    <w:rsid w:val="00CA4435"/>
    <w:rsid w:val="00CA66AA"/>
    <w:rsid w:val="00CB0B05"/>
    <w:rsid w:val="00CB1AC2"/>
    <w:rsid w:val="00CB43FC"/>
    <w:rsid w:val="00CB4620"/>
    <w:rsid w:val="00CB5796"/>
    <w:rsid w:val="00CB73E7"/>
    <w:rsid w:val="00CC124B"/>
    <w:rsid w:val="00CC1282"/>
    <w:rsid w:val="00CC202C"/>
    <w:rsid w:val="00CC4BCC"/>
    <w:rsid w:val="00CC6660"/>
    <w:rsid w:val="00CC75F1"/>
    <w:rsid w:val="00CD42D8"/>
    <w:rsid w:val="00CD475E"/>
    <w:rsid w:val="00CD6937"/>
    <w:rsid w:val="00CE07C8"/>
    <w:rsid w:val="00CE2618"/>
    <w:rsid w:val="00CE4AD7"/>
    <w:rsid w:val="00CE624C"/>
    <w:rsid w:val="00CF0E89"/>
    <w:rsid w:val="00CF14A7"/>
    <w:rsid w:val="00CF2C77"/>
    <w:rsid w:val="00CF3B74"/>
    <w:rsid w:val="00CF3C2A"/>
    <w:rsid w:val="00CF51F8"/>
    <w:rsid w:val="00CF556A"/>
    <w:rsid w:val="00CF5CA6"/>
    <w:rsid w:val="00D0420E"/>
    <w:rsid w:val="00D071C6"/>
    <w:rsid w:val="00D07E6C"/>
    <w:rsid w:val="00D101C2"/>
    <w:rsid w:val="00D121F0"/>
    <w:rsid w:val="00D1565C"/>
    <w:rsid w:val="00D166C5"/>
    <w:rsid w:val="00D16B21"/>
    <w:rsid w:val="00D17EE5"/>
    <w:rsid w:val="00D22DD5"/>
    <w:rsid w:val="00D22EEC"/>
    <w:rsid w:val="00D24436"/>
    <w:rsid w:val="00D247A1"/>
    <w:rsid w:val="00D26165"/>
    <w:rsid w:val="00D26895"/>
    <w:rsid w:val="00D2712C"/>
    <w:rsid w:val="00D27369"/>
    <w:rsid w:val="00D307D0"/>
    <w:rsid w:val="00D308DA"/>
    <w:rsid w:val="00D3185C"/>
    <w:rsid w:val="00D31F7A"/>
    <w:rsid w:val="00D32484"/>
    <w:rsid w:val="00D32795"/>
    <w:rsid w:val="00D3694E"/>
    <w:rsid w:val="00D37277"/>
    <w:rsid w:val="00D43263"/>
    <w:rsid w:val="00D4340A"/>
    <w:rsid w:val="00D50908"/>
    <w:rsid w:val="00D50F83"/>
    <w:rsid w:val="00D51B05"/>
    <w:rsid w:val="00D5237D"/>
    <w:rsid w:val="00D53202"/>
    <w:rsid w:val="00D539EB"/>
    <w:rsid w:val="00D565B0"/>
    <w:rsid w:val="00D568B8"/>
    <w:rsid w:val="00D572C3"/>
    <w:rsid w:val="00D61AE3"/>
    <w:rsid w:val="00D62529"/>
    <w:rsid w:val="00D62E04"/>
    <w:rsid w:val="00D6342D"/>
    <w:rsid w:val="00D634EB"/>
    <w:rsid w:val="00D64127"/>
    <w:rsid w:val="00D65CC9"/>
    <w:rsid w:val="00D674F9"/>
    <w:rsid w:val="00D72C96"/>
    <w:rsid w:val="00D744AB"/>
    <w:rsid w:val="00D801F1"/>
    <w:rsid w:val="00D8367E"/>
    <w:rsid w:val="00D875C1"/>
    <w:rsid w:val="00D87E6A"/>
    <w:rsid w:val="00D912C5"/>
    <w:rsid w:val="00D912C6"/>
    <w:rsid w:val="00D933A7"/>
    <w:rsid w:val="00D934CC"/>
    <w:rsid w:val="00D96240"/>
    <w:rsid w:val="00DA3BF1"/>
    <w:rsid w:val="00DA3C33"/>
    <w:rsid w:val="00DA6989"/>
    <w:rsid w:val="00DA6F18"/>
    <w:rsid w:val="00DB18DB"/>
    <w:rsid w:val="00DB38DC"/>
    <w:rsid w:val="00DB4855"/>
    <w:rsid w:val="00DB6DFE"/>
    <w:rsid w:val="00DC1C94"/>
    <w:rsid w:val="00DC3AB6"/>
    <w:rsid w:val="00DC5100"/>
    <w:rsid w:val="00DD0048"/>
    <w:rsid w:val="00DD2FF3"/>
    <w:rsid w:val="00DD5E00"/>
    <w:rsid w:val="00DD5FFD"/>
    <w:rsid w:val="00DD688D"/>
    <w:rsid w:val="00DE50B7"/>
    <w:rsid w:val="00DF0501"/>
    <w:rsid w:val="00DF0FAB"/>
    <w:rsid w:val="00DF3EF9"/>
    <w:rsid w:val="00DF5414"/>
    <w:rsid w:val="00E00883"/>
    <w:rsid w:val="00E00B24"/>
    <w:rsid w:val="00E0204E"/>
    <w:rsid w:val="00E10204"/>
    <w:rsid w:val="00E11365"/>
    <w:rsid w:val="00E127E8"/>
    <w:rsid w:val="00E20E8B"/>
    <w:rsid w:val="00E22FBF"/>
    <w:rsid w:val="00E2336A"/>
    <w:rsid w:val="00E23690"/>
    <w:rsid w:val="00E26F26"/>
    <w:rsid w:val="00E271CA"/>
    <w:rsid w:val="00E301EE"/>
    <w:rsid w:val="00E31CF0"/>
    <w:rsid w:val="00E328A0"/>
    <w:rsid w:val="00E330BC"/>
    <w:rsid w:val="00E3483D"/>
    <w:rsid w:val="00E35C4F"/>
    <w:rsid w:val="00E36422"/>
    <w:rsid w:val="00E4094E"/>
    <w:rsid w:val="00E41DB6"/>
    <w:rsid w:val="00E44282"/>
    <w:rsid w:val="00E4509F"/>
    <w:rsid w:val="00E47232"/>
    <w:rsid w:val="00E5256D"/>
    <w:rsid w:val="00E52867"/>
    <w:rsid w:val="00E5352C"/>
    <w:rsid w:val="00E54094"/>
    <w:rsid w:val="00E57A6A"/>
    <w:rsid w:val="00E6073A"/>
    <w:rsid w:val="00E60859"/>
    <w:rsid w:val="00E61F4F"/>
    <w:rsid w:val="00E645E0"/>
    <w:rsid w:val="00E66C00"/>
    <w:rsid w:val="00E71501"/>
    <w:rsid w:val="00E76418"/>
    <w:rsid w:val="00E772E0"/>
    <w:rsid w:val="00E806B7"/>
    <w:rsid w:val="00E84387"/>
    <w:rsid w:val="00E926C4"/>
    <w:rsid w:val="00E93C65"/>
    <w:rsid w:val="00E93E9A"/>
    <w:rsid w:val="00E962D8"/>
    <w:rsid w:val="00E974DA"/>
    <w:rsid w:val="00E97559"/>
    <w:rsid w:val="00EA0A2E"/>
    <w:rsid w:val="00EA1542"/>
    <w:rsid w:val="00EA19CD"/>
    <w:rsid w:val="00EA1F6D"/>
    <w:rsid w:val="00EA2A79"/>
    <w:rsid w:val="00EA5204"/>
    <w:rsid w:val="00EA550C"/>
    <w:rsid w:val="00EA55A5"/>
    <w:rsid w:val="00EA77E8"/>
    <w:rsid w:val="00EB0F99"/>
    <w:rsid w:val="00EB391E"/>
    <w:rsid w:val="00EB395D"/>
    <w:rsid w:val="00EB5956"/>
    <w:rsid w:val="00EB5A72"/>
    <w:rsid w:val="00EB6DFB"/>
    <w:rsid w:val="00EC0330"/>
    <w:rsid w:val="00EC1A14"/>
    <w:rsid w:val="00EC2445"/>
    <w:rsid w:val="00EC259B"/>
    <w:rsid w:val="00EC34AB"/>
    <w:rsid w:val="00EC39E2"/>
    <w:rsid w:val="00EC3B61"/>
    <w:rsid w:val="00EC7D0B"/>
    <w:rsid w:val="00ED0902"/>
    <w:rsid w:val="00ED0B6A"/>
    <w:rsid w:val="00ED23A8"/>
    <w:rsid w:val="00ED4787"/>
    <w:rsid w:val="00ED5D61"/>
    <w:rsid w:val="00ED66A8"/>
    <w:rsid w:val="00ED7A11"/>
    <w:rsid w:val="00EE16F3"/>
    <w:rsid w:val="00EE19C4"/>
    <w:rsid w:val="00EE4523"/>
    <w:rsid w:val="00EE56A5"/>
    <w:rsid w:val="00EF048C"/>
    <w:rsid w:val="00EF0A03"/>
    <w:rsid w:val="00EF1DE8"/>
    <w:rsid w:val="00EF3D79"/>
    <w:rsid w:val="00EF61E0"/>
    <w:rsid w:val="00EF76CD"/>
    <w:rsid w:val="00EF7D66"/>
    <w:rsid w:val="00F00B07"/>
    <w:rsid w:val="00F03046"/>
    <w:rsid w:val="00F0720D"/>
    <w:rsid w:val="00F076CF"/>
    <w:rsid w:val="00F07E3C"/>
    <w:rsid w:val="00F1526B"/>
    <w:rsid w:val="00F212F7"/>
    <w:rsid w:val="00F277FB"/>
    <w:rsid w:val="00F31F93"/>
    <w:rsid w:val="00F3326C"/>
    <w:rsid w:val="00F332C2"/>
    <w:rsid w:val="00F33D9B"/>
    <w:rsid w:val="00F37CA8"/>
    <w:rsid w:val="00F41DFB"/>
    <w:rsid w:val="00F42494"/>
    <w:rsid w:val="00F42E1B"/>
    <w:rsid w:val="00F44172"/>
    <w:rsid w:val="00F47542"/>
    <w:rsid w:val="00F4793E"/>
    <w:rsid w:val="00F47AD9"/>
    <w:rsid w:val="00F50DD5"/>
    <w:rsid w:val="00F5127D"/>
    <w:rsid w:val="00F544C9"/>
    <w:rsid w:val="00F605EE"/>
    <w:rsid w:val="00F62086"/>
    <w:rsid w:val="00F62E1E"/>
    <w:rsid w:val="00F6798B"/>
    <w:rsid w:val="00F7199A"/>
    <w:rsid w:val="00F71E67"/>
    <w:rsid w:val="00F73E9A"/>
    <w:rsid w:val="00F74CDB"/>
    <w:rsid w:val="00F77D24"/>
    <w:rsid w:val="00F80ED2"/>
    <w:rsid w:val="00F82549"/>
    <w:rsid w:val="00F826A7"/>
    <w:rsid w:val="00F82A9E"/>
    <w:rsid w:val="00F84685"/>
    <w:rsid w:val="00F84D47"/>
    <w:rsid w:val="00F85F4A"/>
    <w:rsid w:val="00F8740F"/>
    <w:rsid w:val="00F87CAB"/>
    <w:rsid w:val="00F90C08"/>
    <w:rsid w:val="00F913D3"/>
    <w:rsid w:val="00F943EB"/>
    <w:rsid w:val="00F96123"/>
    <w:rsid w:val="00F96B5D"/>
    <w:rsid w:val="00F9799D"/>
    <w:rsid w:val="00FA0400"/>
    <w:rsid w:val="00FA175C"/>
    <w:rsid w:val="00FA4C79"/>
    <w:rsid w:val="00FA572C"/>
    <w:rsid w:val="00FB1089"/>
    <w:rsid w:val="00FB673D"/>
    <w:rsid w:val="00FC2AA2"/>
    <w:rsid w:val="00FC53DE"/>
    <w:rsid w:val="00FD1229"/>
    <w:rsid w:val="00FD2373"/>
    <w:rsid w:val="00FD405A"/>
    <w:rsid w:val="00FD41BE"/>
    <w:rsid w:val="00FE3E2F"/>
    <w:rsid w:val="00FE40B2"/>
    <w:rsid w:val="00FF00CB"/>
    <w:rsid w:val="00FF3063"/>
    <w:rsid w:val="00FF57D2"/>
    <w:rsid w:val="00FF6162"/>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78E092D7"/>
  <w15:docId w15:val="{20C3822E-6D6E-4C8E-A867-D44DD8FB60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style>
  <w:style w:type="paragraph" w:styleId="Nadpis1">
    <w:name w:val="heading 1"/>
    <w:basedOn w:val="Normlny"/>
    <w:next w:val="Normlny"/>
    <w:link w:val="Nadpis1Char"/>
    <w:uiPriority w:val="9"/>
    <w:qFormat/>
    <w:rsid w:val="00931C42"/>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y"/>
    <w:next w:val="Normlny"/>
    <w:link w:val="Nadpis2Char"/>
    <w:uiPriority w:val="9"/>
    <w:semiHidden/>
    <w:unhideWhenUsed/>
    <w:qFormat/>
    <w:rsid w:val="00931C42"/>
    <w:pPr>
      <w:keepNext/>
      <w:keepLines/>
      <w:spacing w:before="200" w:after="0" w:line="240" w:lineRule="auto"/>
      <w:jc w:val="both"/>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adpis2"/>
    <w:next w:val="Normlny"/>
    <w:link w:val="Nadpis3Char"/>
    <w:qFormat/>
    <w:rsid w:val="00931C42"/>
    <w:pPr>
      <w:keepLines w:val="0"/>
      <w:numPr>
        <w:ilvl w:val="2"/>
      </w:numPr>
      <w:spacing w:before="240" w:after="240"/>
      <w:outlineLvl w:val="2"/>
    </w:pPr>
    <w:rPr>
      <w:rFonts w:ascii="Arial" w:eastAsia="Times New Roman" w:hAnsi="Arial" w:cs="Arial"/>
      <w:iCs/>
      <w:color w:val="3C8A2E"/>
      <w:kern w:val="32"/>
      <w:sz w:val="24"/>
      <w:lang w:val="en-US"/>
    </w:rPr>
  </w:style>
  <w:style w:type="paragraph" w:styleId="Nadpis4">
    <w:name w:val="heading 4"/>
    <w:basedOn w:val="Normlny"/>
    <w:next w:val="Normlny"/>
    <w:link w:val="Nadpis4Char"/>
    <w:uiPriority w:val="9"/>
    <w:semiHidden/>
    <w:unhideWhenUsed/>
    <w:qFormat/>
    <w:rsid w:val="00931C42"/>
    <w:pPr>
      <w:keepNext/>
      <w:keepLines/>
      <w:spacing w:before="200" w:after="0" w:line="240" w:lineRule="auto"/>
      <w:jc w:val="both"/>
      <w:outlineLvl w:val="3"/>
    </w:pPr>
    <w:rPr>
      <w:rFonts w:asciiTheme="majorHAnsi" w:eastAsiaTheme="majorEastAsia" w:hAnsiTheme="majorHAnsi" w:cstheme="majorBidi"/>
      <w:b/>
      <w:bCs/>
      <w:i/>
      <w:iCs/>
      <w:color w:val="4F81BD" w:themeColor="accent1"/>
    </w:rPr>
  </w:style>
  <w:style w:type="paragraph" w:styleId="Nadpis5">
    <w:name w:val="heading 5"/>
    <w:basedOn w:val="Normlny"/>
    <w:next w:val="Normlny"/>
    <w:link w:val="Nadpis5Char"/>
    <w:uiPriority w:val="9"/>
    <w:semiHidden/>
    <w:unhideWhenUsed/>
    <w:qFormat/>
    <w:rsid w:val="000E11B2"/>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Odkaznakomentr">
    <w:name w:val="annotation reference"/>
    <w:uiPriority w:val="99"/>
    <w:rsid w:val="005E671B"/>
    <w:rPr>
      <w:sz w:val="16"/>
      <w:szCs w:val="16"/>
    </w:rPr>
  </w:style>
  <w:style w:type="paragraph" w:styleId="Textkomentra">
    <w:name w:val="annotation text"/>
    <w:basedOn w:val="Normlny"/>
    <w:link w:val="TextkomentraChar"/>
    <w:uiPriority w:val="99"/>
    <w:rsid w:val="005E671B"/>
    <w:pPr>
      <w:spacing w:after="0" w:line="240" w:lineRule="auto"/>
    </w:pPr>
    <w:rPr>
      <w:rFonts w:ascii="Arial" w:eastAsia="Times New Roman" w:hAnsi="Arial" w:cs="Times New Roman"/>
      <w:sz w:val="20"/>
      <w:szCs w:val="20"/>
    </w:rPr>
  </w:style>
  <w:style w:type="character" w:customStyle="1" w:styleId="TextkomentraChar">
    <w:name w:val="Text komentára Char"/>
    <w:basedOn w:val="Predvolenpsmoodseku"/>
    <w:link w:val="Textkomentra"/>
    <w:uiPriority w:val="99"/>
    <w:rsid w:val="005E671B"/>
    <w:rPr>
      <w:rFonts w:ascii="Arial" w:eastAsia="Times New Roman" w:hAnsi="Arial" w:cs="Times New Roman"/>
      <w:sz w:val="20"/>
      <w:szCs w:val="20"/>
    </w:rPr>
  </w:style>
  <w:style w:type="paragraph" w:styleId="Textbubliny">
    <w:name w:val="Balloon Text"/>
    <w:basedOn w:val="Normlny"/>
    <w:link w:val="TextbublinyChar"/>
    <w:uiPriority w:val="99"/>
    <w:semiHidden/>
    <w:unhideWhenUsed/>
    <w:rsid w:val="005E671B"/>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5E671B"/>
    <w:rPr>
      <w:rFonts w:ascii="Tahoma" w:hAnsi="Tahoma" w:cs="Tahoma"/>
      <w:sz w:val="16"/>
      <w:szCs w:val="16"/>
    </w:rPr>
  </w:style>
  <w:style w:type="paragraph" w:styleId="Pta">
    <w:name w:val="footer"/>
    <w:basedOn w:val="Normlny"/>
    <w:link w:val="PtaChar"/>
    <w:uiPriority w:val="99"/>
    <w:unhideWhenUsed/>
    <w:rsid w:val="004A4BCD"/>
    <w:pPr>
      <w:tabs>
        <w:tab w:val="center" w:pos="4536"/>
        <w:tab w:val="right" w:pos="9072"/>
      </w:tabs>
      <w:spacing w:after="0" w:line="240" w:lineRule="auto"/>
    </w:pPr>
  </w:style>
  <w:style w:type="character" w:customStyle="1" w:styleId="PtaChar">
    <w:name w:val="Päta Char"/>
    <w:basedOn w:val="Predvolenpsmoodseku"/>
    <w:link w:val="Pta"/>
    <w:uiPriority w:val="99"/>
    <w:rsid w:val="004A4BCD"/>
  </w:style>
  <w:style w:type="character" w:customStyle="1" w:styleId="Nadpis1Char">
    <w:name w:val="Nadpis 1 Char"/>
    <w:basedOn w:val="Predvolenpsmoodseku"/>
    <w:link w:val="Nadpis1"/>
    <w:uiPriority w:val="9"/>
    <w:rsid w:val="00931C42"/>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Predvolenpsmoodseku"/>
    <w:link w:val="Nadpis2"/>
    <w:uiPriority w:val="9"/>
    <w:semiHidden/>
    <w:rsid w:val="00931C42"/>
    <w:rPr>
      <w:rFonts w:asciiTheme="majorHAnsi" w:eastAsiaTheme="majorEastAsia" w:hAnsiTheme="majorHAnsi" w:cstheme="majorBidi"/>
      <w:b/>
      <w:bCs/>
      <w:color w:val="4F81BD" w:themeColor="accent1"/>
      <w:sz w:val="26"/>
      <w:szCs w:val="26"/>
    </w:rPr>
  </w:style>
  <w:style w:type="character" w:customStyle="1" w:styleId="Nadpis3Char">
    <w:name w:val="Nadpis 3 Char"/>
    <w:basedOn w:val="Predvolenpsmoodseku"/>
    <w:link w:val="Nadpis3"/>
    <w:rsid w:val="00931C42"/>
    <w:rPr>
      <w:rFonts w:ascii="Arial" w:eastAsia="Times New Roman" w:hAnsi="Arial" w:cs="Arial"/>
      <w:b/>
      <w:bCs/>
      <w:iCs/>
      <w:color w:val="3C8A2E"/>
      <w:kern w:val="32"/>
      <w:sz w:val="24"/>
      <w:szCs w:val="26"/>
      <w:lang w:val="en-US"/>
    </w:rPr>
  </w:style>
  <w:style w:type="character" w:customStyle="1" w:styleId="Nadpis4Char">
    <w:name w:val="Nadpis 4 Char"/>
    <w:basedOn w:val="Predvolenpsmoodseku"/>
    <w:link w:val="Nadpis4"/>
    <w:uiPriority w:val="9"/>
    <w:semiHidden/>
    <w:rsid w:val="00931C42"/>
    <w:rPr>
      <w:rFonts w:asciiTheme="majorHAnsi" w:eastAsiaTheme="majorEastAsia" w:hAnsiTheme="majorHAnsi" w:cstheme="majorBidi"/>
      <w:b/>
      <w:bCs/>
      <w:i/>
      <w:iCs/>
      <w:color w:val="4F81BD" w:themeColor="accent1"/>
    </w:rPr>
  </w:style>
  <w:style w:type="numbering" w:customStyle="1" w:styleId="Bezzoznamu1">
    <w:name w:val="Bez zoznamu1"/>
    <w:next w:val="Bezzoznamu"/>
    <w:uiPriority w:val="99"/>
    <w:semiHidden/>
    <w:unhideWhenUsed/>
    <w:rsid w:val="00931C42"/>
  </w:style>
  <w:style w:type="paragraph" w:styleId="Odsekzoznamu">
    <w:name w:val="List Paragraph"/>
    <w:aliases w:val="body,Dot pt,No Spacing1,List Paragraph Char Char Char,Indicator Text,Numbered Para 1,List Paragraph à moi,Odsek zoznamu4,LISTA,List Paragraph1,Listaszerű bekezdés2,Listaszerű bekezdés3,Listaszerű bekezdés1,Bullet 1,Bullet Points,3,Odsek"/>
    <w:basedOn w:val="Normlny"/>
    <w:link w:val="OdsekzoznamuChar"/>
    <w:uiPriority w:val="34"/>
    <w:qFormat/>
    <w:rsid w:val="00931C42"/>
    <w:pPr>
      <w:spacing w:after="0" w:line="240" w:lineRule="auto"/>
      <w:ind w:left="720"/>
      <w:contextualSpacing/>
      <w:jc w:val="both"/>
    </w:pPr>
  </w:style>
  <w:style w:type="paragraph" w:styleId="Hlavika">
    <w:name w:val="header"/>
    <w:basedOn w:val="Normlny"/>
    <w:link w:val="HlavikaChar"/>
    <w:uiPriority w:val="99"/>
    <w:unhideWhenUsed/>
    <w:rsid w:val="00931C42"/>
    <w:pPr>
      <w:tabs>
        <w:tab w:val="center" w:pos="4536"/>
        <w:tab w:val="right" w:pos="9072"/>
      </w:tabs>
      <w:spacing w:after="0" w:line="240" w:lineRule="auto"/>
      <w:jc w:val="both"/>
    </w:pPr>
  </w:style>
  <w:style w:type="character" w:customStyle="1" w:styleId="HlavikaChar">
    <w:name w:val="Hlavička Char"/>
    <w:basedOn w:val="Predvolenpsmoodseku"/>
    <w:link w:val="Hlavika"/>
    <w:uiPriority w:val="99"/>
    <w:rsid w:val="00931C42"/>
  </w:style>
  <w:style w:type="paragraph" w:styleId="Obsah1">
    <w:name w:val="toc 1"/>
    <w:basedOn w:val="Normlny"/>
    <w:next w:val="Normlny"/>
    <w:autoRedefine/>
    <w:uiPriority w:val="39"/>
    <w:qFormat/>
    <w:rsid w:val="00931C42"/>
    <w:pPr>
      <w:tabs>
        <w:tab w:val="right" w:leader="dot" w:pos="9062"/>
      </w:tabs>
      <w:spacing w:after="120" w:line="300" w:lineRule="auto"/>
      <w:ind w:left="567" w:hanging="567"/>
      <w:jc w:val="both"/>
    </w:pPr>
    <w:rPr>
      <w:rFonts w:ascii="Arial" w:eastAsia="Times New Roman" w:hAnsi="Arial" w:cs="Times New Roman"/>
      <w:sz w:val="24"/>
      <w:szCs w:val="24"/>
      <w:lang w:val="en-US"/>
    </w:rPr>
  </w:style>
  <w:style w:type="paragraph" w:styleId="Obsah2">
    <w:name w:val="toc 2"/>
    <w:basedOn w:val="Normlny"/>
    <w:next w:val="Normlny"/>
    <w:autoRedefine/>
    <w:uiPriority w:val="39"/>
    <w:qFormat/>
    <w:rsid w:val="00931C42"/>
    <w:pPr>
      <w:tabs>
        <w:tab w:val="right" w:leader="dot" w:pos="9062"/>
      </w:tabs>
      <w:spacing w:after="120" w:line="300" w:lineRule="auto"/>
      <w:ind w:left="567" w:hanging="567"/>
      <w:jc w:val="both"/>
    </w:pPr>
    <w:rPr>
      <w:rFonts w:ascii="Arial" w:eastAsia="Times New Roman" w:hAnsi="Arial" w:cs="Times New Roman"/>
      <w:sz w:val="24"/>
      <w:szCs w:val="24"/>
      <w:lang w:val="en-US"/>
    </w:rPr>
  </w:style>
  <w:style w:type="paragraph" w:styleId="Obsah3">
    <w:name w:val="toc 3"/>
    <w:basedOn w:val="Normlny"/>
    <w:next w:val="Normlny"/>
    <w:autoRedefine/>
    <w:uiPriority w:val="39"/>
    <w:qFormat/>
    <w:rsid w:val="00931C42"/>
    <w:pPr>
      <w:tabs>
        <w:tab w:val="left" w:pos="-567"/>
        <w:tab w:val="right" w:leader="dot" w:pos="9062"/>
      </w:tabs>
      <w:spacing w:after="120" w:line="240" w:lineRule="auto"/>
      <w:jc w:val="both"/>
    </w:pPr>
    <w:rPr>
      <w:rFonts w:ascii="Arial" w:eastAsia="Times New Roman" w:hAnsi="Arial" w:cs="Times New Roman"/>
      <w:sz w:val="24"/>
      <w:szCs w:val="24"/>
      <w:lang w:val="en-US"/>
    </w:rPr>
  </w:style>
  <w:style w:type="character" w:styleId="Hypertextovprepojenie">
    <w:name w:val="Hyperlink"/>
    <w:basedOn w:val="Predvolenpsmoodseku"/>
    <w:uiPriority w:val="99"/>
    <w:rsid w:val="00931C42"/>
    <w:rPr>
      <w:rFonts w:ascii="Arial" w:hAnsi="Arial"/>
      <w:color w:val="9BBB59" w:themeColor="accent3"/>
      <w:sz w:val="16"/>
      <w:u w:val="single"/>
    </w:rPr>
  </w:style>
  <w:style w:type="paragraph" w:styleId="Predmetkomentra">
    <w:name w:val="annotation subject"/>
    <w:basedOn w:val="Textkomentra"/>
    <w:next w:val="Textkomentra"/>
    <w:link w:val="PredmetkomentraChar"/>
    <w:uiPriority w:val="99"/>
    <w:semiHidden/>
    <w:unhideWhenUsed/>
    <w:rsid w:val="00931C42"/>
    <w:pPr>
      <w:jc w:val="both"/>
    </w:pPr>
    <w:rPr>
      <w:rFonts w:asciiTheme="minorHAnsi" w:eastAsiaTheme="minorHAnsi" w:hAnsiTheme="minorHAnsi" w:cstheme="minorBidi"/>
      <w:b/>
      <w:bCs/>
    </w:rPr>
  </w:style>
  <w:style w:type="character" w:customStyle="1" w:styleId="PredmetkomentraChar">
    <w:name w:val="Predmet komentára Char"/>
    <w:basedOn w:val="TextkomentraChar"/>
    <w:link w:val="Predmetkomentra"/>
    <w:uiPriority w:val="99"/>
    <w:semiHidden/>
    <w:rsid w:val="00931C42"/>
    <w:rPr>
      <w:rFonts w:ascii="Arial" w:eastAsia="Times New Roman" w:hAnsi="Arial" w:cs="Times New Roman"/>
      <w:b/>
      <w:bCs/>
      <w:sz w:val="20"/>
      <w:szCs w:val="20"/>
    </w:rPr>
  </w:style>
  <w:style w:type="table" w:styleId="Mriekatabuky">
    <w:name w:val="Table Grid"/>
    <w:basedOn w:val="Normlnatabuka"/>
    <w:uiPriority w:val="99"/>
    <w:rsid w:val="00931C42"/>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y"/>
    <w:link w:val="ZkladntextChar"/>
    <w:unhideWhenUsed/>
    <w:rsid w:val="00931C42"/>
    <w:pPr>
      <w:spacing w:after="0" w:line="240" w:lineRule="auto"/>
      <w:jc w:val="both"/>
    </w:pPr>
    <w:rPr>
      <w:rFonts w:ascii="Times New Roman" w:eastAsia="Times New Roman" w:hAnsi="Times New Roman" w:cs="Times New Roman"/>
      <w:sz w:val="24"/>
      <w:szCs w:val="20"/>
      <w:lang w:eastAsia="sk-SK"/>
    </w:rPr>
  </w:style>
  <w:style w:type="character" w:customStyle="1" w:styleId="ZkladntextChar">
    <w:name w:val="Základný text Char"/>
    <w:basedOn w:val="Predvolenpsmoodseku"/>
    <w:link w:val="Zkladntext"/>
    <w:rsid w:val="00931C42"/>
    <w:rPr>
      <w:rFonts w:ascii="Times New Roman" w:eastAsia="Times New Roman" w:hAnsi="Times New Roman" w:cs="Times New Roman"/>
      <w:sz w:val="24"/>
      <w:szCs w:val="20"/>
      <w:lang w:eastAsia="sk-SK"/>
    </w:rPr>
  </w:style>
  <w:style w:type="paragraph" w:styleId="Normlnywebov">
    <w:name w:val="Normal (Web)"/>
    <w:basedOn w:val="Normlny"/>
    <w:uiPriority w:val="99"/>
    <w:unhideWhenUsed/>
    <w:rsid w:val="00931C42"/>
    <w:pPr>
      <w:spacing w:before="100" w:beforeAutospacing="1" w:after="100" w:afterAutospacing="1" w:line="240" w:lineRule="auto"/>
      <w:jc w:val="both"/>
    </w:pPr>
    <w:rPr>
      <w:rFonts w:ascii="Times New Roman" w:eastAsia="Times New Roman" w:hAnsi="Times New Roman" w:cs="Times New Roman"/>
      <w:sz w:val="24"/>
      <w:szCs w:val="24"/>
      <w:lang w:eastAsia="sk-SK"/>
    </w:rPr>
  </w:style>
  <w:style w:type="character" w:styleId="Siln">
    <w:name w:val="Strong"/>
    <w:basedOn w:val="Predvolenpsmoodseku"/>
    <w:uiPriority w:val="22"/>
    <w:qFormat/>
    <w:rsid w:val="00931C42"/>
    <w:rPr>
      <w:b/>
      <w:bCs/>
    </w:rPr>
  </w:style>
  <w:style w:type="character" w:styleId="PouitHypertextovPrepojenie">
    <w:name w:val="FollowedHyperlink"/>
    <w:basedOn w:val="Predvolenpsmoodseku"/>
    <w:uiPriority w:val="99"/>
    <w:semiHidden/>
    <w:unhideWhenUsed/>
    <w:rsid w:val="00931C42"/>
    <w:rPr>
      <w:color w:val="800080" w:themeColor="followedHyperlink"/>
      <w:u w:val="single"/>
    </w:rPr>
  </w:style>
  <w:style w:type="paragraph" w:styleId="Popis">
    <w:name w:val="caption"/>
    <w:basedOn w:val="Normlny"/>
    <w:next w:val="Normlny"/>
    <w:unhideWhenUsed/>
    <w:qFormat/>
    <w:rsid w:val="00931C42"/>
    <w:pPr>
      <w:spacing w:line="240" w:lineRule="auto"/>
    </w:pPr>
    <w:rPr>
      <w:rFonts w:ascii="Arial" w:eastAsia="Times New Roman" w:hAnsi="Arial" w:cs="Times New Roman"/>
      <w:b/>
      <w:bCs/>
      <w:color w:val="4F81BD" w:themeColor="accent1"/>
      <w:sz w:val="18"/>
      <w:szCs w:val="18"/>
      <w:lang w:val="en-US"/>
    </w:rPr>
  </w:style>
  <w:style w:type="character" w:styleId="Zstupntext">
    <w:name w:val="Placeholder Text"/>
    <w:basedOn w:val="Predvolenpsmoodseku"/>
    <w:uiPriority w:val="99"/>
    <w:semiHidden/>
    <w:rsid w:val="00931C42"/>
    <w:rPr>
      <w:rFonts w:ascii="Times New Roman" w:hAnsi="Times New Roman" w:cs="Times New Roman" w:hint="default"/>
      <w:color w:val="000000"/>
    </w:rPr>
  </w:style>
  <w:style w:type="paragraph" w:styleId="Revzia">
    <w:name w:val="Revision"/>
    <w:hidden/>
    <w:uiPriority w:val="99"/>
    <w:semiHidden/>
    <w:rsid w:val="00931C42"/>
    <w:pPr>
      <w:spacing w:after="0" w:line="240" w:lineRule="auto"/>
    </w:pPr>
  </w:style>
  <w:style w:type="paragraph" w:styleId="Textpoznmkypodiarou">
    <w:name w:val="footnote text"/>
    <w:aliases w:val="fn,Footnote Text Char1,Footnote Text Char Char,Footnote,Voetnoottekst Char,Voetnoottekst Char1,Voetnoottekst Char2 Char Char,Voetnoottekst Char Char1 Char Char,Voetnoottekst Char1 Char Char Char Char,single space"/>
    <w:basedOn w:val="Normlny"/>
    <w:link w:val="TextpoznmkypodiarouChar"/>
    <w:uiPriority w:val="99"/>
    <w:unhideWhenUsed/>
    <w:rsid w:val="00B40111"/>
    <w:pPr>
      <w:spacing w:after="0" w:line="240" w:lineRule="auto"/>
    </w:pPr>
    <w:rPr>
      <w:sz w:val="20"/>
      <w:szCs w:val="20"/>
    </w:rPr>
  </w:style>
  <w:style w:type="character" w:customStyle="1" w:styleId="TextpoznmkypodiarouChar">
    <w:name w:val="Text poznámky pod čiarou Char"/>
    <w:aliases w:val="fn Char,Footnote Text Char1 Char,Footnote Text Char Char Char,Footnote Char,Voetnoottekst Char Char,Voetnoottekst Char1 Char,Voetnoottekst Char2 Char Char Char,Voetnoottekst Char Char1 Char Char Char,single space Char"/>
    <w:basedOn w:val="Predvolenpsmoodseku"/>
    <w:link w:val="Textpoznmkypodiarou"/>
    <w:uiPriority w:val="99"/>
    <w:rsid w:val="00B40111"/>
    <w:rPr>
      <w:sz w:val="20"/>
      <w:szCs w:val="20"/>
    </w:rPr>
  </w:style>
  <w:style w:type="character" w:styleId="Odkaznapoznmkupodiarou">
    <w:name w:val="footnote reference"/>
    <w:aliases w:val="Footnote symbol,Footnote reference number"/>
    <w:uiPriority w:val="99"/>
    <w:unhideWhenUsed/>
    <w:rsid w:val="00B40111"/>
    <w:rPr>
      <w:rFonts w:ascii="Times New Roman" w:hAnsi="Times New Roman" w:cs="Times New Roman" w:hint="default"/>
      <w:vertAlign w:val="superscript"/>
    </w:rPr>
  </w:style>
  <w:style w:type="paragraph" w:styleId="Hlavikaobsahu">
    <w:name w:val="TOC Heading"/>
    <w:basedOn w:val="Nadpis1"/>
    <w:next w:val="Normlny"/>
    <w:uiPriority w:val="39"/>
    <w:semiHidden/>
    <w:unhideWhenUsed/>
    <w:qFormat/>
    <w:rsid w:val="00D4340A"/>
    <w:pPr>
      <w:spacing w:line="276" w:lineRule="auto"/>
      <w:jc w:val="left"/>
      <w:outlineLvl w:val="9"/>
    </w:pPr>
    <w:rPr>
      <w:lang w:eastAsia="sk-SK"/>
    </w:rPr>
  </w:style>
  <w:style w:type="paragraph" w:customStyle="1" w:styleId="Char">
    <w:name w:val="Char"/>
    <w:basedOn w:val="Normlny"/>
    <w:rsid w:val="000E178B"/>
    <w:pPr>
      <w:spacing w:after="160" w:line="240" w:lineRule="exact"/>
    </w:pPr>
    <w:rPr>
      <w:rFonts w:ascii="Arial Narrow" w:eastAsia="Times New Roman" w:hAnsi="Arial Narrow" w:cs="Arial Narrow"/>
      <w:lang w:val="en-US"/>
    </w:rPr>
  </w:style>
  <w:style w:type="character" w:styleId="Zvraznenie">
    <w:name w:val="Emphasis"/>
    <w:basedOn w:val="Predvolenpsmoodseku"/>
    <w:qFormat/>
    <w:rsid w:val="00E47232"/>
    <w:rPr>
      <w:i/>
      <w:iCs/>
    </w:rPr>
  </w:style>
  <w:style w:type="character" w:customStyle="1" w:styleId="OdsekzoznamuChar">
    <w:name w:val="Odsek zoznamu Char"/>
    <w:aliases w:val="body Char,Dot pt Char,No Spacing1 Char,List Paragraph Char Char Char Char,Indicator Text Char,Numbered Para 1 Char,List Paragraph à moi Char,Odsek zoznamu4 Char,LISTA Char,List Paragraph1 Char,Listaszerű bekezdés2 Char,Bullet 1 Char"/>
    <w:link w:val="Odsekzoznamu"/>
    <w:uiPriority w:val="34"/>
    <w:qFormat/>
    <w:locked/>
    <w:rsid w:val="00BC5A33"/>
  </w:style>
  <w:style w:type="character" w:customStyle="1" w:styleId="st1">
    <w:name w:val="st1"/>
    <w:basedOn w:val="Predvolenpsmoodseku"/>
    <w:rsid w:val="005111AC"/>
  </w:style>
  <w:style w:type="numbering" w:customStyle="1" w:styleId="Bezzoznamu2">
    <w:name w:val="Bez zoznamu2"/>
    <w:next w:val="Bezzoznamu"/>
    <w:uiPriority w:val="99"/>
    <w:semiHidden/>
    <w:unhideWhenUsed/>
    <w:rsid w:val="00D51B05"/>
  </w:style>
  <w:style w:type="numbering" w:customStyle="1" w:styleId="Bezzoznamu11">
    <w:name w:val="Bez zoznamu11"/>
    <w:next w:val="Bezzoznamu"/>
    <w:uiPriority w:val="99"/>
    <w:semiHidden/>
    <w:unhideWhenUsed/>
    <w:rsid w:val="00D51B05"/>
  </w:style>
  <w:style w:type="table" w:customStyle="1" w:styleId="Mriekatabuky1">
    <w:name w:val="Mriežka tabuľky1"/>
    <w:basedOn w:val="Normlnatabuka"/>
    <w:next w:val="Mriekatabuky"/>
    <w:uiPriority w:val="59"/>
    <w:rsid w:val="00D51B05"/>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
    <w:name w:val="Mriežka tabuľky2"/>
    <w:basedOn w:val="Normlnatabuka"/>
    <w:next w:val="Mriekatabuky"/>
    <w:uiPriority w:val="59"/>
    <w:rsid w:val="000943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
    <w:name w:val="Mriežka tabuľky3"/>
    <w:basedOn w:val="Normlnatabuka"/>
    <w:next w:val="Mriekatabuky"/>
    <w:uiPriority w:val="59"/>
    <w:rsid w:val="00F74C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
    <w:name w:val="Mriežka tabuľky4"/>
    <w:basedOn w:val="Normlnatabuka"/>
    <w:next w:val="Mriekatabuky"/>
    <w:uiPriority w:val="59"/>
    <w:rsid w:val="00937D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any">
    <w:name w:val="page number"/>
    <w:basedOn w:val="Predvolenpsmoodseku"/>
    <w:uiPriority w:val="99"/>
    <w:rsid w:val="005456E1"/>
    <w:rPr>
      <w:rFonts w:cs="Times New Roman"/>
    </w:rPr>
  </w:style>
  <w:style w:type="table" w:customStyle="1" w:styleId="Mriekatabuky31">
    <w:name w:val="Mriežka tabuľky31"/>
    <w:basedOn w:val="Normlnatabuka"/>
    <w:next w:val="Mriekatabuky"/>
    <w:uiPriority w:val="59"/>
    <w:rsid w:val="004F6C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41">
    <w:name w:val="Mriežka tabuľky41"/>
    <w:basedOn w:val="Normlnatabuka"/>
    <w:next w:val="Mriekatabuky"/>
    <w:uiPriority w:val="59"/>
    <w:rsid w:val="004F6C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5Char">
    <w:name w:val="Nadpis 5 Char"/>
    <w:basedOn w:val="Predvolenpsmoodseku"/>
    <w:link w:val="Nadpis5"/>
    <w:uiPriority w:val="9"/>
    <w:semiHidden/>
    <w:rsid w:val="000E11B2"/>
    <w:rPr>
      <w:rFonts w:asciiTheme="majorHAnsi" w:eastAsiaTheme="majorEastAsia" w:hAnsiTheme="majorHAnsi" w:cstheme="majorBidi"/>
      <w:color w:val="243F60" w:themeColor="accent1" w:themeShade="7F"/>
    </w:rPr>
  </w:style>
  <w:style w:type="numbering" w:customStyle="1" w:styleId="Bezzoznamu3">
    <w:name w:val="Bez zoznamu3"/>
    <w:next w:val="Bezzoznamu"/>
    <w:uiPriority w:val="99"/>
    <w:semiHidden/>
    <w:unhideWhenUsed/>
    <w:rsid w:val="000E11B2"/>
  </w:style>
  <w:style w:type="numbering" w:customStyle="1" w:styleId="Bezzoznamu12">
    <w:name w:val="Bez zoznamu12"/>
    <w:next w:val="Bezzoznamu"/>
    <w:uiPriority w:val="99"/>
    <w:semiHidden/>
    <w:unhideWhenUsed/>
    <w:rsid w:val="000E11B2"/>
  </w:style>
  <w:style w:type="table" w:customStyle="1" w:styleId="Mriekatabuky5">
    <w:name w:val="Mriežka tabuľky5"/>
    <w:basedOn w:val="Normlnatabuka"/>
    <w:next w:val="Mriekatabuky"/>
    <w:uiPriority w:val="59"/>
    <w:rsid w:val="000E11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11">
    <w:name w:val="Mriežka tabuľky11"/>
    <w:basedOn w:val="Normlnatabuka"/>
    <w:next w:val="Mriekatabuky"/>
    <w:uiPriority w:val="59"/>
    <w:rsid w:val="000E11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
    <w:name w:val="Mriežka tabuľky21"/>
    <w:basedOn w:val="Normlnatabuka"/>
    <w:next w:val="Mriekatabuky"/>
    <w:uiPriority w:val="59"/>
    <w:rsid w:val="000E11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2">
    <w:name w:val="Mriežka tabuľky32"/>
    <w:basedOn w:val="Normlnatabuka"/>
    <w:next w:val="Mriekatabuky"/>
    <w:uiPriority w:val="59"/>
    <w:rsid w:val="000E11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riadkovania">
    <w:name w:val="No Spacing"/>
    <w:basedOn w:val="Textpoznmkypodiarou"/>
    <w:qFormat/>
    <w:rsid w:val="000E11B2"/>
    <w:pPr>
      <w:spacing w:after="60"/>
    </w:pPr>
    <w:rPr>
      <w:rFonts w:asciiTheme="majorHAnsi" w:eastAsia="Times New Roman" w:hAnsiTheme="majorHAnsi" w:cs="Times New Roman"/>
      <w:lang w:eastAsia="sk-SK"/>
    </w:rPr>
  </w:style>
  <w:style w:type="table" w:customStyle="1" w:styleId="tl1">
    <w:name w:val="Štýl1"/>
    <w:basedOn w:val="Moderntabuka"/>
    <w:uiPriority w:val="99"/>
    <w:rsid w:val="000E11B2"/>
    <w:pPr>
      <w:spacing w:after="120" w:line="240" w:lineRule="auto"/>
      <w:jc w:val="both"/>
    </w:pPr>
    <w:rPr>
      <w:rFonts w:ascii="Times New Roman" w:eastAsia="Times New Roman" w:hAnsi="Times New Roman" w:cs="Times New Roman"/>
      <w:sz w:val="20"/>
      <w:szCs w:val="20"/>
      <w:lang w:eastAsia="sk-SK"/>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l11">
    <w:name w:val="Štýl11"/>
    <w:basedOn w:val="Moderntabuka"/>
    <w:uiPriority w:val="99"/>
    <w:rsid w:val="000E11B2"/>
    <w:pPr>
      <w:spacing w:after="120" w:line="240" w:lineRule="auto"/>
      <w:jc w:val="both"/>
    </w:pPr>
    <w:rPr>
      <w:rFonts w:ascii="Times New Roman" w:eastAsia="Times New Roman" w:hAnsi="Times New Roman" w:cs="Times New Roman"/>
      <w:sz w:val="20"/>
      <w:szCs w:val="20"/>
      <w:lang w:eastAsia="sk-SK"/>
    </w:rP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Moderntabuka">
    <w:name w:val="Table Contemporary"/>
    <w:basedOn w:val="Normlnatabuka"/>
    <w:uiPriority w:val="99"/>
    <w:semiHidden/>
    <w:unhideWhenUsed/>
    <w:rsid w:val="000E11B2"/>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Mriekatabuky33">
    <w:name w:val="Mriežka tabuľky33"/>
    <w:basedOn w:val="Normlnatabuka"/>
    <w:uiPriority w:val="59"/>
    <w:rsid w:val="00C1051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34">
    <w:name w:val="Mriežka tabuľky34"/>
    <w:basedOn w:val="Normlnatabuka"/>
    <w:next w:val="Mriekatabuky"/>
    <w:uiPriority w:val="59"/>
    <w:rsid w:val="00C10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52154">
      <w:bodyDiv w:val="1"/>
      <w:marLeft w:val="0"/>
      <w:marRight w:val="0"/>
      <w:marTop w:val="0"/>
      <w:marBottom w:val="0"/>
      <w:divBdr>
        <w:top w:val="none" w:sz="0" w:space="0" w:color="auto"/>
        <w:left w:val="none" w:sz="0" w:space="0" w:color="auto"/>
        <w:bottom w:val="none" w:sz="0" w:space="0" w:color="auto"/>
        <w:right w:val="none" w:sz="0" w:space="0" w:color="auto"/>
      </w:divBdr>
    </w:div>
    <w:div w:id="12460934">
      <w:bodyDiv w:val="1"/>
      <w:marLeft w:val="0"/>
      <w:marRight w:val="0"/>
      <w:marTop w:val="0"/>
      <w:marBottom w:val="0"/>
      <w:divBdr>
        <w:top w:val="none" w:sz="0" w:space="0" w:color="auto"/>
        <w:left w:val="none" w:sz="0" w:space="0" w:color="auto"/>
        <w:bottom w:val="none" w:sz="0" w:space="0" w:color="auto"/>
        <w:right w:val="none" w:sz="0" w:space="0" w:color="auto"/>
      </w:divBdr>
    </w:div>
    <w:div w:id="87121806">
      <w:bodyDiv w:val="1"/>
      <w:marLeft w:val="0"/>
      <w:marRight w:val="0"/>
      <w:marTop w:val="0"/>
      <w:marBottom w:val="0"/>
      <w:divBdr>
        <w:top w:val="none" w:sz="0" w:space="0" w:color="auto"/>
        <w:left w:val="none" w:sz="0" w:space="0" w:color="auto"/>
        <w:bottom w:val="none" w:sz="0" w:space="0" w:color="auto"/>
        <w:right w:val="none" w:sz="0" w:space="0" w:color="auto"/>
      </w:divBdr>
    </w:div>
    <w:div w:id="130025826">
      <w:bodyDiv w:val="1"/>
      <w:marLeft w:val="0"/>
      <w:marRight w:val="0"/>
      <w:marTop w:val="0"/>
      <w:marBottom w:val="0"/>
      <w:divBdr>
        <w:top w:val="none" w:sz="0" w:space="0" w:color="auto"/>
        <w:left w:val="none" w:sz="0" w:space="0" w:color="auto"/>
        <w:bottom w:val="none" w:sz="0" w:space="0" w:color="auto"/>
        <w:right w:val="none" w:sz="0" w:space="0" w:color="auto"/>
      </w:divBdr>
    </w:div>
    <w:div w:id="148130580">
      <w:bodyDiv w:val="1"/>
      <w:marLeft w:val="0"/>
      <w:marRight w:val="0"/>
      <w:marTop w:val="0"/>
      <w:marBottom w:val="0"/>
      <w:divBdr>
        <w:top w:val="none" w:sz="0" w:space="0" w:color="auto"/>
        <w:left w:val="none" w:sz="0" w:space="0" w:color="auto"/>
        <w:bottom w:val="none" w:sz="0" w:space="0" w:color="auto"/>
        <w:right w:val="none" w:sz="0" w:space="0" w:color="auto"/>
      </w:divBdr>
      <w:divsChild>
        <w:div w:id="561987285">
          <w:marLeft w:val="0"/>
          <w:marRight w:val="0"/>
          <w:marTop w:val="0"/>
          <w:marBottom w:val="0"/>
          <w:divBdr>
            <w:top w:val="none" w:sz="0" w:space="0" w:color="auto"/>
            <w:left w:val="none" w:sz="0" w:space="0" w:color="auto"/>
            <w:bottom w:val="none" w:sz="0" w:space="0" w:color="auto"/>
            <w:right w:val="none" w:sz="0" w:space="0" w:color="auto"/>
          </w:divBdr>
        </w:div>
        <w:div w:id="1206718579">
          <w:marLeft w:val="0"/>
          <w:marRight w:val="0"/>
          <w:marTop w:val="0"/>
          <w:marBottom w:val="0"/>
          <w:divBdr>
            <w:top w:val="none" w:sz="0" w:space="0" w:color="auto"/>
            <w:left w:val="none" w:sz="0" w:space="0" w:color="auto"/>
            <w:bottom w:val="none" w:sz="0" w:space="0" w:color="auto"/>
            <w:right w:val="none" w:sz="0" w:space="0" w:color="auto"/>
          </w:divBdr>
          <w:divsChild>
            <w:div w:id="1428379973">
              <w:marLeft w:val="0"/>
              <w:marRight w:val="0"/>
              <w:marTop w:val="0"/>
              <w:marBottom w:val="0"/>
              <w:divBdr>
                <w:top w:val="none" w:sz="0" w:space="0" w:color="auto"/>
                <w:left w:val="none" w:sz="0" w:space="0" w:color="auto"/>
                <w:bottom w:val="none" w:sz="0" w:space="0" w:color="auto"/>
                <w:right w:val="none" w:sz="0" w:space="0" w:color="auto"/>
              </w:divBdr>
              <w:divsChild>
                <w:div w:id="1527909636">
                  <w:marLeft w:val="0"/>
                  <w:marRight w:val="0"/>
                  <w:marTop w:val="0"/>
                  <w:marBottom w:val="0"/>
                  <w:divBdr>
                    <w:top w:val="none" w:sz="0" w:space="0" w:color="auto"/>
                    <w:left w:val="none" w:sz="0" w:space="0" w:color="auto"/>
                    <w:bottom w:val="none" w:sz="0" w:space="0" w:color="auto"/>
                    <w:right w:val="none" w:sz="0" w:space="0" w:color="auto"/>
                  </w:divBdr>
                  <w:divsChild>
                    <w:div w:id="1498614606">
                      <w:marLeft w:val="0"/>
                      <w:marRight w:val="0"/>
                      <w:marTop w:val="0"/>
                      <w:marBottom w:val="0"/>
                      <w:divBdr>
                        <w:top w:val="none" w:sz="0" w:space="0" w:color="auto"/>
                        <w:left w:val="none" w:sz="0" w:space="0" w:color="auto"/>
                        <w:bottom w:val="none" w:sz="0" w:space="0" w:color="auto"/>
                        <w:right w:val="none" w:sz="0" w:space="0" w:color="auto"/>
                      </w:divBdr>
                    </w:div>
                    <w:div w:id="901408798">
                      <w:marLeft w:val="0"/>
                      <w:marRight w:val="0"/>
                      <w:marTop w:val="0"/>
                      <w:marBottom w:val="0"/>
                      <w:divBdr>
                        <w:top w:val="none" w:sz="0" w:space="0" w:color="auto"/>
                        <w:left w:val="none" w:sz="0" w:space="0" w:color="auto"/>
                        <w:bottom w:val="none" w:sz="0" w:space="0" w:color="auto"/>
                        <w:right w:val="none" w:sz="0" w:space="0" w:color="auto"/>
                      </w:divBdr>
                    </w:div>
                    <w:div w:id="1820342373">
                      <w:marLeft w:val="0"/>
                      <w:marRight w:val="0"/>
                      <w:marTop w:val="0"/>
                      <w:marBottom w:val="0"/>
                      <w:divBdr>
                        <w:top w:val="none" w:sz="0" w:space="0" w:color="auto"/>
                        <w:left w:val="none" w:sz="0" w:space="0" w:color="auto"/>
                        <w:bottom w:val="none" w:sz="0" w:space="0" w:color="auto"/>
                        <w:right w:val="none" w:sz="0" w:space="0" w:color="auto"/>
                      </w:divBdr>
                    </w:div>
                    <w:div w:id="388577151">
                      <w:marLeft w:val="0"/>
                      <w:marRight w:val="0"/>
                      <w:marTop w:val="0"/>
                      <w:marBottom w:val="0"/>
                      <w:divBdr>
                        <w:top w:val="none" w:sz="0" w:space="0" w:color="auto"/>
                        <w:left w:val="none" w:sz="0" w:space="0" w:color="auto"/>
                        <w:bottom w:val="none" w:sz="0" w:space="0" w:color="auto"/>
                        <w:right w:val="none" w:sz="0" w:space="0" w:color="auto"/>
                      </w:divBdr>
                    </w:div>
                    <w:div w:id="533469941">
                      <w:marLeft w:val="0"/>
                      <w:marRight w:val="0"/>
                      <w:marTop w:val="0"/>
                      <w:marBottom w:val="0"/>
                      <w:divBdr>
                        <w:top w:val="none" w:sz="0" w:space="0" w:color="auto"/>
                        <w:left w:val="none" w:sz="0" w:space="0" w:color="auto"/>
                        <w:bottom w:val="none" w:sz="0" w:space="0" w:color="auto"/>
                        <w:right w:val="none" w:sz="0" w:space="0" w:color="auto"/>
                      </w:divBdr>
                    </w:div>
                    <w:div w:id="869760789">
                      <w:marLeft w:val="0"/>
                      <w:marRight w:val="0"/>
                      <w:marTop w:val="0"/>
                      <w:marBottom w:val="0"/>
                      <w:divBdr>
                        <w:top w:val="none" w:sz="0" w:space="0" w:color="auto"/>
                        <w:left w:val="none" w:sz="0" w:space="0" w:color="auto"/>
                        <w:bottom w:val="none" w:sz="0" w:space="0" w:color="auto"/>
                        <w:right w:val="none" w:sz="0" w:space="0" w:color="auto"/>
                      </w:divBdr>
                    </w:div>
                    <w:div w:id="1870532113">
                      <w:marLeft w:val="0"/>
                      <w:marRight w:val="0"/>
                      <w:marTop w:val="0"/>
                      <w:marBottom w:val="0"/>
                      <w:divBdr>
                        <w:top w:val="none" w:sz="0" w:space="0" w:color="auto"/>
                        <w:left w:val="none" w:sz="0" w:space="0" w:color="auto"/>
                        <w:bottom w:val="none" w:sz="0" w:space="0" w:color="auto"/>
                        <w:right w:val="none" w:sz="0" w:space="0" w:color="auto"/>
                      </w:divBdr>
                    </w:div>
                    <w:div w:id="964772480">
                      <w:marLeft w:val="0"/>
                      <w:marRight w:val="0"/>
                      <w:marTop w:val="0"/>
                      <w:marBottom w:val="0"/>
                      <w:divBdr>
                        <w:top w:val="none" w:sz="0" w:space="0" w:color="auto"/>
                        <w:left w:val="none" w:sz="0" w:space="0" w:color="auto"/>
                        <w:bottom w:val="none" w:sz="0" w:space="0" w:color="auto"/>
                        <w:right w:val="none" w:sz="0" w:space="0" w:color="auto"/>
                      </w:divBdr>
                    </w:div>
                    <w:div w:id="911501383">
                      <w:marLeft w:val="0"/>
                      <w:marRight w:val="0"/>
                      <w:marTop w:val="0"/>
                      <w:marBottom w:val="0"/>
                      <w:divBdr>
                        <w:top w:val="none" w:sz="0" w:space="0" w:color="auto"/>
                        <w:left w:val="none" w:sz="0" w:space="0" w:color="auto"/>
                        <w:bottom w:val="none" w:sz="0" w:space="0" w:color="auto"/>
                        <w:right w:val="none" w:sz="0" w:space="0" w:color="auto"/>
                      </w:divBdr>
                    </w:div>
                    <w:div w:id="272634457">
                      <w:marLeft w:val="0"/>
                      <w:marRight w:val="0"/>
                      <w:marTop w:val="0"/>
                      <w:marBottom w:val="0"/>
                      <w:divBdr>
                        <w:top w:val="none" w:sz="0" w:space="0" w:color="auto"/>
                        <w:left w:val="none" w:sz="0" w:space="0" w:color="auto"/>
                        <w:bottom w:val="none" w:sz="0" w:space="0" w:color="auto"/>
                        <w:right w:val="none" w:sz="0" w:space="0" w:color="auto"/>
                      </w:divBdr>
                    </w:div>
                    <w:div w:id="1873150765">
                      <w:marLeft w:val="0"/>
                      <w:marRight w:val="0"/>
                      <w:marTop w:val="0"/>
                      <w:marBottom w:val="0"/>
                      <w:divBdr>
                        <w:top w:val="none" w:sz="0" w:space="0" w:color="auto"/>
                        <w:left w:val="none" w:sz="0" w:space="0" w:color="auto"/>
                        <w:bottom w:val="none" w:sz="0" w:space="0" w:color="auto"/>
                        <w:right w:val="none" w:sz="0" w:space="0" w:color="auto"/>
                      </w:divBdr>
                    </w:div>
                    <w:div w:id="1806119502">
                      <w:marLeft w:val="0"/>
                      <w:marRight w:val="0"/>
                      <w:marTop w:val="0"/>
                      <w:marBottom w:val="0"/>
                      <w:divBdr>
                        <w:top w:val="none" w:sz="0" w:space="0" w:color="auto"/>
                        <w:left w:val="none" w:sz="0" w:space="0" w:color="auto"/>
                        <w:bottom w:val="none" w:sz="0" w:space="0" w:color="auto"/>
                        <w:right w:val="none" w:sz="0" w:space="0" w:color="auto"/>
                      </w:divBdr>
                    </w:div>
                    <w:div w:id="1947687846">
                      <w:marLeft w:val="0"/>
                      <w:marRight w:val="0"/>
                      <w:marTop w:val="0"/>
                      <w:marBottom w:val="0"/>
                      <w:divBdr>
                        <w:top w:val="none" w:sz="0" w:space="0" w:color="auto"/>
                        <w:left w:val="none" w:sz="0" w:space="0" w:color="auto"/>
                        <w:bottom w:val="none" w:sz="0" w:space="0" w:color="auto"/>
                        <w:right w:val="none" w:sz="0" w:space="0" w:color="auto"/>
                      </w:divBdr>
                    </w:div>
                    <w:div w:id="8221679">
                      <w:marLeft w:val="0"/>
                      <w:marRight w:val="0"/>
                      <w:marTop w:val="0"/>
                      <w:marBottom w:val="0"/>
                      <w:divBdr>
                        <w:top w:val="none" w:sz="0" w:space="0" w:color="auto"/>
                        <w:left w:val="none" w:sz="0" w:space="0" w:color="auto"/>
                        <w:bottom w:val="none" w:sz="0" w:space="0" w:color="auto"/>
                        <w:right w:val="none" w:sz="0" w:space="0" w:color="auto"/>
                      </w:divBdr>
                    </w:div>
                    <w:div w:id="1433353472">
                      <w:marLeft w:val="0"/>
                      <w:marRight w:val="0"/>
                      <w:marTop w:val="0"/>
                      <w:marBottom w:val="0"/>
                      <w:divBdr>
                        <w:top w:val="none" w:sz="0" w:space="0" w:color="auto"/>
                        <w:left w:val="none" w:sz="0" w:space="0" w:color="auto"/>
                        <w:bottom w:val="none" w:sz="0" w:space="0" w:color="auto"/>
                        <w:right w:val="none" w:sz="0" w:space="0" w:color="auto"/>
                      </w:divBdr>
                    </w:div>
                    <w:div w:id="1076825051">
                      <w:marLeft w:val="0"/>
                      <w:marRight w:val="0"/>
                      <w:marTop w:val="0"/>
                      <w:marBottom w:val="0"/>
                      <w:divBdr>
                        <w:top w:val="none" w:sz="0" w:space="0" w:color="auto"/>
                        <w:left w:val="none" w:sz="0" w:space="0" w:color="auto"/>
                        <w:bottom w:val="none" w:sz="0" w:space="0" w:color="auto"/>
                        <w:right w:val="none" w:sz="0" w:space="0" w:color="auto"/>
                      </w:divBdr>
                    </w:div>
                    <w:div w:id="1339235241">
                      <w:marLeft w:val="0"/>
                      <w:marRight w:val="0"/>
                      <w:marTop w:val="0"/>
                      <w:marBottom w:val="0"/>
                      <w:divBdr>
                        <w:top w:val="none" w:sz="0" w:space="0" w:color="auto"/>
                        <w:left w:val="none" w:sz="0" w:space="0" w:color="auto"/>
                        <w:bottom w:val="none" w:sz="0" w:space="0" w:color="auto"/>
                        <w:right w:val="none" w:sz="0" w:space="0" w:color="auto"/>
                      </w:divBdr>
                    </w:div>
                    <w:div w:id="953561129">
                      <w:marLeft w:val="0"/>
                      <w:marRight w:val="0"/>
                      <w:marTop w:val="0"/>
                      <w:marBottom w:val="0"/>
                      <w:divBdr>
                        <w:top w:val="none" w:sz="0" w:space="0" w:color="auto"/>
                        <w:left w:val="none" w:sz="0" w:space="0" w:color="auto"/>
                        <w:bottom w:val="none" w:sz="0" w:space="0" w:color="auto"/>
                        <w:right w:val="none" w:sz="0" w:space="0" w:color="auto"/>
                      </w:divBdr>
                    </w:div>
                    <w:div w:id="457649217">
                      <w:marLeft w:val="0"/>
                      <w:marRight w:val="0"/>
                      <w:marTop w:val="0"/>
                      <w:marBottom w:val="0"/>
                      <w:divBdr>
                        <w:top w:val="none" w:sz="0" w:space="0" w:color="auto"/>
                        <w:left w:val="none" w:sz="0" w:space="0" w:color="auto"/>
                        <w:bottom w:val="none" w:sz="0" w:space="0" w:color="auto"/>
                        <w:right w:val="none" w:sz="0" w:space="0" w:color="auto"/>
                      </w:divBdr>
                    </w:div>
                    <w:div w:id="1009137962">
                      <w:marLeft w:val="0"/>
                      <w:marRight w:val="0"/>
                      <w:marTop w:val="0"/>
                      <w:marBottom w:val="0"/>
                      <w:divBdr>
                        <w:top w:val="none" w:sz="0" w:space="0" w:color="auto"/>
                        <w:left w:val="none" w:sz="0" w:space="0" w:color="auto"/>
                        <w:bottom w:val="none" w:sz="0" w:space="0" w:color="auto"/>
                        <w:right w:val="none" w:sz="0" w:space="0" w:color="auto"/>
                      </w:divBdr>
                    </w:div>
                    <w:div w:id="542401037">
                      <w:marLeft w:val="0"/>
                      <w:marRight w:val="0"/>
                      <w:marTop w:val="0"/>
                      <w:marBottom w:val="0"/>
                      <w:divBdr>
                        <w:top w:val="none" w:sz="0" w:space="0" w:color="auto"/>
                        <w:left w:val="none" w:sz="0" w:space="0" w:color="auto"/>
                        <w:bottom w:val="none" w:sz="0" w:space="0" w:color="auto"/>
                        <w:right w:val="none" w:sz="0" w:space="0" w:color="auto"/>
                      </w:divBdr>
                    </w:div>
                    <w:div w:id="887494180">
                      <w:marLeft w:val="0"/>
                      <w:marRight w:val="0"/>
                      <w:marTop w:val="0"/>
                      <w:marBottom w:val="0"/>
                      <w:divBdr>
                        <w:top w:val="none" w:sz="0" w:space="0" w:color="auto"/>
                        <w:left w:val="none" w:sz="0" w:space="0" w:color="auto"/>
                        <w:bottom w:val="none" w:sz="0" w:space="0" w:color="auto"/>
                        <w:right w:val="none" w:sz="0" w:space="0" w:color="auto"/>
                      </w:divBdr>
                    </w:div>
                    <w:div w:id="2099793214">
                      <w:marLeft w:val="0"/>
                      <w:marRight w:val="0"/>
                      <w:marTop w:val="0"/>
                      <w:marBottom w:val="0"/>
                      <w:divBdr>
                        <w:top w:val="none" w:sz="0" w:space="0" w:color="auto"/>
                        <w:left w:val="none" w:sz="0" w:space="0" w:color="auto"/>
                        <w:bottom w:val="none" w:sz="0" w:space="0" w:color="auto"/>
                        <w:right w:val="none" w:sz="0" w:space="0" w:color="auto"/>
                      </w:divBdr>
                    </w:div>
                    <w:div w:id="1523393928">
                      <w:marLeft w:val="0"/>
                      <w:marRight w:val="0"/>
                      <w:marTop w:val="0"/>
                      <w:marBottom w:val="0"/>
                      <w:divBdr>
                        <w:top w:val="none" w:sz="0" w:space="0" w:color="auto"/>
                        <w:left w:val="none" w:sz="0" w:space="0" w:color="auto"/>
                        <w:bottom w:val="none" w:sz="0" w:space="0" w:color="auto"/>
                        <w:right w:val="none" w:sz="0" w:space="0" w:color="auto"/>
                      </w:divBdr>
                    </w:div>
                    <w:div w:id="1826236173">
                      <w:marLeft w:val="0"/>
                      <w:marRight w:val="0"/>
                      <w:marTop w:val="0"/>
                      <w:marBottom w:val="0"/>
                      <w:divBdr>
                        <w:top w:val="none" w:sz="0" w:space="0" w:color="auto"/>
                        <w:left w:val="none" w:sz="0" w:space="0" w:color="auto"/>
                        <w:bottom w:val="none" w:sz="0" w:space="0" w:color="auto"/>
                        <w:right w:val="none" w:sz="0" w:space="0" w:color="auto"/>
                      </w:divBdr>
                    </w:div>
                    <w:div w:id="782767534">
                      <w:marLeft w:val="0"/>
                      <w:marRight w:val="0"/>
                      <w:marTop w:val="0"/>
                      <w:marBottom w:val="0"/>
                      <w:divBdr>
                        <w:top w:val="none" w:sz="0" w:space="0" w:color="auto"/>
                        <w:left w:val="none" w:sz="0" w:space="0" w:color="auto"/>
                        <w:bottom w:val="none" w:sz="0" w:space="0" w:color="auto"/>
                        <w:right w:val="none" w:sz="0" w:space="0" w:color="auto"/>
                      </w:divBdr>
                    </w:div>
                    <w:div w:id="1251961857">
                      <w:marLeft w:val="0"/>
                      <w:marRight w:val="0"/>
                      <w:marTop w:val="0"/>
                      <w:marBottom w:val="0"/>
                      <w:divBdr>
                        <w:top w:val="none" w:sz="0" w:space="0" w:color="auto"/>
                        <w:left w:val="none" w:sz="0" w:space="0" w:color="auto"/>
                        <w:bottom w:val="none" w:sz="0" w:space="0" w:color="auto"/>
                        <w:right w:val="none" w:sz="0" w:space="0" w:color="auto"/>
                      </w:divBdr>
                    </w:div>
                    <w:div w:id="356850979">
                      <w:marLeft w:val="0"/>
                      <w:marRight w:val="0"/>
                      <w:marTop w:val="0"/>
                      <w:marBottom w:val="0"/>
                      <w:divBdr>
                        <w:top w:val="none" w:sz="0" w:space="0" w:color="auto"/>
                        <w:left w:val="none" w:sz="0" w:space="0" w:color="auto"/>
                        <w:bottom w:val="none" w:sz="0" w:space="0" w:color="auto"/>
                        <w:right w:val="none" w:sz="0" w:space="0" w:color="auto"/>
                      </w:divBdr>
                    </w:div>
                    <w:div w:id="1662735439">
                      <w:marLeft w:val="0"/>
                      <w:marRight w:val="0"/>
                      <w:marTop w:val="0"/>
                      <w:marBottom w:val="0"/>
                      <w:divBdr>
                        <w:top w:val="none" w:sz="0" w:space="0" w:color="auto"/>
                        <w:left w:val="none" w:sz="0" w:space="0" w:color="auto"/>
                        <w:bottom w:val="none" w:sz="0" w:space="0" w:color="auto"/>
                        <w:right w:val="none" w:sz="0" w:space="0" w:color="auto"/>
                      </w:divBdr>
                    </w:div>
                    <w:div w:id="231236860">
                      <w:marLeft w:val="0"/>
                      <w:marRight w:val="0"/>
                      <w:marTop w:val="0"/>
                      <w:marBottom w:val="0"/>
                      <w:divBdr>
                        <w:top w:val="none" w:sz="0" w:space="0" w:color="auto"/>
                        <w:left w:val="none" w:sz="0" w:space="0" w:color="auto"/>
                        <w:bottom w:val="none" w:sz="0" w:space="0" w:color="auto"/>
                        <w:right w:val="none" w:sz="0" w:space="0" w:color="auto"/>
                      </w:divBdr>
                    </w:div>
                    <w:div w:id="1217203481">
                      <w:marLeft w:val="0"/>
                      <w:marRight w:val="0"/>
                      <w:marTop w:val="0"/>
                      <w:marBottom w:val="0"/>
                      <w:divBdr>
                        <w:top w:val="none" w:sz="0" w:space="0" w:color="auto"/>
                        <w:left w:val="none" w:sz="0" w:space="0" w:color="auto"/>
                        <w:bottom w:val="none" w:sz="0" w:space="0" w:color="auto"/>
                        <w:right w:val="none" w:sz="0" w:space="0" w:color="auto"/>
                      </w:divBdr>
                    </w:div>
                    <w:div w:id="197089490">
                      <w:marLeft w:val="0"/>
                      <w:marRight w:val="0"/>
                      <w:marTop w:val="0"/>
                      <w:marBottom w:val="0"/>
                      <w:divBdr>
                        <w:top w:val="none" w:sz="0" w:space="0" w:color="auto"/>
                        <w:left w:val="none" w:sz="0" w:space="0" w:color="auto"/>
                        <w:bottom w:val="none" w:sz="0" w:space="0" w:color="auto"/>
                        <w:right w:val="none" w:sz="0" w:space="0" w:color="auto"/>
                      </w:divBdr>
                    </w:div>
                    <w:div w:id="147206688">
                      <w:marLeft w:val="0"/>
                      <w:marRight w:val="0"/>
                      <w:marTop w:val="0"/>
                      <w:marBottom w:val="0"/>
                      <w:divBdr>
                        <w:top w:val="none" w:sz="0" w:space="0" w:color="auto"/>
                        <w:left w:val="none" w:sz="0" w:space="0" w:color="auto"/>
                        <w:bottom w:val="none" w:sz="0" w:space="0" w:color="auto"/>
                        <w:right w:val="none" w:sz="0" w:space="0" w:color="auto"/>
                      </w:divBdr>
                    </w:div>
                    <w:div w:id="328217935">
                      <w:marLeft w:val="0"/>
                      <w:marRight w:val="0"/>
                      <w:marTop w:val="0"/>
                      <w:marBottom w:val="0"/>
                      <w:divBdr>
                        <w:top w:val="none" w:sz="0" w:space="0" w:color="auto"/>
                        <w:left w:val="none" w:sz="0" w:space="0" w:color="auto"/>
                        <w:bottom w:val="none" w:sz="0" w:space="0" w:color="auto"/>
                        <w:right w:val="none" w:sz="0" w:space="0" w:color="auto"/>
                      </w:divBdr>
                    </w:div>
                    <w:div w:id="906183770">
                      <w:marLeft w:val="0"/>
                      <w:marRight w:val="0"/>
                      <w:marTop w:val="0"/>
                      <w:marBottom w:val="0"/>
                      <w:divBdr>
                        <w:top w:val="none" w:sz="0" w:space="0" w:color="auto"/>
                        <w:left w:val="none" w:sz="0" w:space="0" w:color="auto"/>
                        <w:bottom w:val="none" w:sz="0" w:space="0" w:color="auto"/>
                        <w:right w:val="none" w:sz="0" w:space="0" w:color="auto"/>
                      </w:divBdr>
                    </w:div>
                    <w:div w:id="1555507324">
                      <w:marLeft w:val="0"/>
                      <w:marRight w:val="0"/>
                      <w:marTop w:val="0"/>
                      <w:marBottom w:val="0"/>
                      <w:divBdr>
                        <w:top w:val="none" w:sz="0" w:space="0" w:color="auto"/>
                        <w:left w:val="none" w:sz="0" w:space="0" w:color="auto"/>
                        <w:bottom w:val="none" w:sz="0" w:space="0" w:color="auto"/>
                        <w:right w:val="none" w:sz="0" w:space="0" w:color="auto"/>
                      </w:divBdr>
                    </w:div>
                    <w:div w:id="543298652">
                      <w:marLeft w:val="0"/>
                      <w:marRight w:val="0"/>
                      <w:marTop w:val="0"/>
                      <w:marBottom w:val="0"/>
                      <w:divBdr>
                        <w:top w:val="none" w:sz="0" w:space="0" w:color="auto"/>
                        <w:left w:val="none" w:sz="0" w:space="0" w:color="auto"/>
                        <w:bottom w:val="none" w:sz="0" w:space="0" w:color="auto"/>
                        <w:right w:val="none" w:sz="0" w:space="0" w:color="auto"/>
                      </w:divBdr>
                    </w:div>
                    <w:div w:id="601113093">
                      <w:marLeft w:val="0"/>
                      <w:marRight w:val="0"/>
                      <w:marTop w:val="0"/>
                      <w:marBottom w:val="0"/>
                      <w:divBdr>
                        <w:top w:val="none" w:sz="0" w:space="0" w:color="auto"/>
                        <w:left w:val="none" w:sz="0" w:space="0" w:color="auto"/>
                        <w:bottom w:val="none" w:sz="0" w:space="0" w:color="auto"/>
                        <w:right w:val="none" w:sz="0" w:space="0" w:color="auto"/>
                      </w:divBdr>
                    </w:div>
                    <w:div w:id="1593515039">
                      <w:marLeft w:val="0"/>
                      <w:marRight w:val="0"/>
                      <w:marTop w:val="0"/>
                      <w:marBottom w:val="0"/>
                      <w:divBdr>
                        <w:top w:val="none" w:sz="0" w:space="0" w:color="auto"/>
                        <w:left w:val="none" w:sz="0" w:space="0" w:color="auto"/>
                        <w:bottom w:val="none" w:sz="0" w:space="0" w:color="auto"/>
                        <w:right w:val="none" w:sz="0" w:space="0" w:color="auto"/>
                      </w:divBdr>
                    </w:div>
                    <w:div w:id="1399937259">
                      <w:marLeft w:val="0"/>
                      <w:marRight w:val="0"/>
                      <w:marTop w:val="0"/>
                      <w:marBottom w:val="0"/>
                      <w:divBdr>
                        <w:top w:val="none" w:sz="0" w:space="0" w:color="auto"/>
                        <w:left w:val="none" w:sz="0" w:space="0" w:color="auto"/>
                        <w:bottom w:val="none" w:sz="0" w:space="0" w:color="auto"/>
                        <w:right w:val="none" w:sz="0" w:space="0" w:color="auto"/>
                      </w:divBdr>
                    </w:div>
                    <w:div w:id="1318461319">
                      <w:marLeft w:val="0"/>
                      <w:marRight w:val="0"/>
                      <w:marTop w:val="0"/>
                      <w:marBottom w:val="0"/>
                      <w:divBdr>
                        <w:top w:val="none" w:sz="0" w:space="0" w:color="auto"/>
                        <w:left w:val="none" w:sz="0" w:space="0" w:color="auto"/>
                        <w:bottom w:val="none" w:sz="0" w:space="0" w:color="auto"/>
                        <w:right w:val="none" w:sz="0" w:space="0" w:color="auto"/>
                      </w:divBdr>
                    </w:div>
                    <w:div w:id="413284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237753">
              <w:marLeft w:val="0"/>
              <w:marRight w:val="0"/>
              <w:marTop w:val="0"/>
              <w:marBottom w:val="0"/>
              <w:divBdr>
                <w:top w:val="none" w:sz="0" w:space="0" w:color="auto"/>
                <w:left w:val="none" w:sz="0" w:space="0" w:color="auto"/>
                <w:bottom w:val="none" w:sz="0" w:space="0" w:color="auto"/>
                <w:right w:val="none" w:sz="0" w:space="0" w:color="auto"/>
              </w:divBdr>
            </w:div>
            <w:div w:id="1183862024">
              <w:marLeft w:val="0"/>
              <w:marRight w:val="0"/>
              <w:marTop w:val="0"/>
              <w:marBottom w:val="0"/>
              <w:divBdr>
                <w:top w:val="none" w:sz="0" w:space="0" w:color="auto"/>
                <w:left w:val="none" w:sz="0" w:space="0" w:color="auto"/>
                <w:bottom w:val="none" w:sz="0" w:space="0" w:color="auto"/>
                <w:right w:val="none" w:sz="0" w:space="0" w:color="auto"/>
              </w:divBdr>
              <w:divsChild>
                <w:div w:id="1088038326">
                  <w:marLeft w:val="0"/>
                  <w:marRight w:val="0"/>
                  <w:marTop w:val="0"/>
                  <w:marBottom w:val="0"/>
                  <w:divBdr>
                    <w:top w:val="none" w:sz="0" w:space="0" w:color="auto"/>
                    <w:left w:val="none" w:sz="0" w:space="0" w:color="auto"/>
                    <w:bottom w:val="none" w:sz="0" w:space="0" w:color="auto"/>
                    <w:right w:val="none" w:sz="0" w:space="0" w:color="auto"/>
                  </w:divBdr>
                  <w:divsChild>
                    <w:div w:id="181630432">
                      <w:marLeft w:val="0"/>
                      <w:marRight w:val="0"/>
                      <w:marTop w:val="0"/>
                      <w:marBottom w:val="0"/>
                      <w:divBdr>
                        <w:top w:val="none" w:sz="0" w:space="0" w:color="auto"/>
                        <w:left w:val="none" w:sz="0" w:space="0" w:color="auto"/>
                        <w:bottom w:val="none" w:sz="0" w:space="0" w:color="auto"/>
                        <w:right w:val="none" w:sz="0" w:space="0" w:color="auto"/>
                      </w:divBdr>
                      <w:divsChild>
                        <w:div w:id="1598979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828281">
      <w:bodyDiv w:val="1"/>
      <w:marLeft w:val="0"/>
      <w:marRight w:val="0"/>
      <w:marTop w:val="0"/>
      <w:marBottom w:val="0"/>
      <w:divBdr>
        <w:top w:val="none" w:sz="0" w:space="0" w:color="auto"/>
        <w:left w:val="none" w:sz="0" w:space="0" w:color="auto"/>
        <w:bottom w:val="none" w:sz="0" w:space="0" w:color="auto"/>
        <w:right w:val="none" w:sz="0" w:space="0" w:color="auto"/>
      </w:divBdr>
    </w:div>
    <w:div w:id="177668997">
      <w:bodyDiv w:val="1"/>
      <w:marLeft w:val="0"/>
      <w:marRight w:val="0"/>
      <w:marTop w:val="0"/>
      <w:marBottom w:val="0"/>
      <w:divBdr>
        <w:top w:val="none" w:sz="0" w:space="0" w:color="auto"/>
        <w:left w:val="none" w:sz="0" w:space="0" w:color="auto"/>
        <w:bottom w:val="none" w:sz="0" w:space="0" w:color="auto"/>
        <w:right w:val="none" w:sz="0" w:space="0" w:color="auto"/>
      </w:divBdr>
    </w:div>
    <w:div w:id="198513189">
      <w:bodyDiv w:val="1"/>
      <w:marLeft w:val="0"/>
      <w:marRight w:val="0"/>
      <w:marTop w:val="0"/>
      <w:marBottom w:val="0"/>
      <w:divBdr>
        <w:top w:val="none" w:sz="0" w:space="0" w:color="auto"/>
        <w:left w:val="none" w:sz="0" w:space="0" w:color="auto"/>
        <w:bottom w:val="none" w:sz="0" w:space="0" w:color="auto"/>
        <w:right w:val="none" w:sz="0" w:space="0" w:color="auto"/>
      </w:divBdr>
    </w:div>
    <w:div w:id="217132845">
      <w:bodyDiv w:val="1"/>
      <w:marLeft w:val="0"/>
      <w:marRight w:val="0"/>
      <w:marTop w:val="0"/>
      <w:marBottom w:val="0"/>
      <w:divBdr>
        <w:top w:val="none" w:sz="0" w:space="0" w:color="auto"/>
        <w:left w:val="none" w:sz="0" w:space="0" w:color="auto"/>
        <w:bottom w:val="none" w:sz="0" w:space="0" w:color="auto"/>
        <w:right w:val="none" w:sz="0" w:space="0" w:color="auto"/>
      </w:divBdr>
    </w:div>
    <w:div w:id="282881341">
      <w:bodyDiv w:val="1"/>
      <w:marLeft w:val="0"/>
      <w:marRight w:val="0"/>
      <w:marTop w:val="0"/>
      <w:marBottom w:val="0"/>
      <w:divBdr>
        <w:top w:val="none" w:sz="0" w:space="0" w:color="auto"/>
        <w:left w:val="none" w:sz="0" w:space="0" w:color="auto"/>
        <w:bottom w:val="none" w:sz="0" w:space="0" w:color="auto"/>
        <w:right w:val="none" w:sz="0" w:space="0" w:color="auto"/>
      </w:divBdr>
    </w:div>
    <w:div w:id="313990537">
      <w:bodyDiv w:val="1"/>
      <w:marLeft w:val="0"/>
      <w:marRight w:val="0"/>
      <w:marTop w:val="0"/>
      <w:marBottom w:val="0"/>
      <w:divBdr>
        <w:top w:val="none" w:sz="0" w:space="0" w:color="auto"/>
        <w:left w:val="none" w:sz="0" w:space="0" w:color="auto"/>
        <w:bottom w:val="none" w:sz="0" w:space="0" w:color="auto"/>
        <w:right w:val="none" w:sz="0" w:space="0" w:color="auto"/>
      </w:divBdr>
    </w:div>
    <w:div w:id="377049138">
      <w:bodyDiv w:val="1"/>
      <w:marLeft w:val="0"/>
      <w:marRight w:val="0"/>
      <w:marTop w:val="0"/>
      <w:marBottom w:val="0"/>
      <w:divBdr>
        <w:top w:val="none" w:sz="0" w:space="0" w:color="auto"/>
        <w:left w:val="none" w:sz="0" w:space="0" w:color="auto"/>
        <w:bottom w:val="none" w:sz="0" w:space="0" w:color="auto"/>
        <w:right w:val="none" w:sz="0" w:space="0" w:color="auto"/>
      </w:divBdr>
      <w:divsChild>
        <w:div w:id="349844941">
          <w:marLeft w:val="0"/>
          <w:marRight w:val="0"/>
          <w:marTop w:val="0"/>
          <w:marBottom w:val="0"/>
          <w:divBdr>
            <w:top w:val="none" w:sz="0" w:space="0" w:color="auto"/>
            <w:left w:val="none" w:sz="0" w:space="0" w:color="auto"/>
            <w:bottom w:val="none" w:sz="0" w:space="0" w:color="auto"/>
            <w:right w:val="none" w:sz="0" w:space="0" w:color="auto"/>
          </w:divBdr>
        </w:div>
      </w:divsChild>
    </w:div>
    <w:div w:id="431097020">
      <w:bodyDiv w:val="1"/>
      <w:marLeft w:val="0"/>
      <w:marRight w:val="0"/>
      <w:marTop w:val="0"/>
      <w:marBottom w:val="0"/>
      <w:divBdr>
        <w:top w:val="none" w:sz="0" w:space="0" w:color="auto"/>
        <w:left w:val="none" w:sz="0" w:space="0" w:color="auto"/>
        <w:bottom w:val="none" w:sz="0" w:space="0" w:color="auto"/>
        <w:right w:val="none" w:sz="0" w:space="0" w:color="auto"/>
      </w:divBdr>
    </w:div>
    <w:div w:id="438570355">
      <w:bodyDiv w:val="1"/>
      <w:marLeft w:val="0"/>
      <w:marRight w:val="0"/>
      <w:marTop w:val="0"/>
      <w:marBottom w:val="0"/>
      <w:divBdr>
        <w:top w:val="none" w:sz="0" w:space="0" w:color="auto"/>
        <w:left w:val="none" w:sz="0" w:space="0" w:color="auto"/>
        <w:bottom w:val="none" w:sz="0" w:space="0" w:color="auto"/>
        <w:right w:val="none" w:sz="0" w:space="0" w:color="auto"/>
      </w:divBdr>
    </w:div>
    <w:div w:id="526648328">
      <w:bodyDiv w:val="1"/>
      <w:marLeft w:val="0"/>
      <w:marRight w:val="0"/>
      <w:marTop w:val="0"/>
      <w:marBottom w:val="0"/>
      <w:divBdr>
        <w:top w:val="none" w:sz="0" w:space="0" w:color="auto"/>
        <w:left w:val="none" w:sz="0" w:space="0" w:color="auto"/>
        <w:bottom w:val="none" w:sz="0" w:space="0" w:color="auto"/>
        <w:right w:val="none" w:sz="0" w:space="0" w:color="auto"/>
      </w:divBdr>
    </w:div>
    <w:div w:id="560949154">
      <w:bodyDiv w:val="1"/>
      <w:marLeft w:val="0"/>
      <w:marRight w:val="0"/>
      <w:marTop w:val="0"/>
      <w:marBottom w:val="0"/>
      <w:divBdr>
        <w:top w:val="none" w:sz="0" w:space="0" w:color="auto"/>
        <w:left w:val="none" w:sz="0" w:space="0" w:color="auto"/>
        <w:bottom w:val="none" w:sz="0" w:space="0" w:color="auto"/>
        <w:right w:val="none" w:sz="0" w:space="0" w:color="auto"/>
      </w:divBdr>
    </w:div>
    <w:div w:id="576282786">
      <w:bodyDiv w:val="1"/>
      <w:marLeft w:val="0"/>
      <w:marRight w:val="0"/>
      <w:marTop w:val="0"/>
      <w:marBottom w:val="0"/>
      <w:divBdr>
        <w:top w:val="none" w:sz="0" w:space="0" w:color="auto"/>
        <w:left w:val="none" w:sz="0" w:space="0" w:color="auto"/>
        <w:bottom w:val="none" w:sz="0" w:space="0" w:color="auto"/>
        <w:right w:val="none" w:sz="0" w:space="0" w:color="auto"/>
      </w:divBdr>
    </w:div>
    <w:div w:id="611208922">
      <w:bodyDiv w:val="1"/>
      <w:marLeft w:val="0"/>
      <w:marRight w:val="0"/>
      <w:marTop w:val="0"/>
      <w:marBottom w:val="0"/>
      <w:divBdr>
        <w:top w:val="none" w:sz="0" w:space="0" w:color="auto"/>
        <w:left w:val="none" w:sz="0" w:space="0" w:color="auto"/>
        <w:bottom w:val="none" w:sz="0" w:space="0" w:color="auto"/>
        <w:right w:val="none" w:sz="0" w:space="0" w:color="auto"/>
      </w:divBdr>
    </w:div>
    <w:div w:id="742333021">
      <w:bodyDiv w:val="1"/>
      <w:marLeft w:val="0"/>
      <w:marRight w:val="0"/>
      <w:marTop w:val="0"/>
      <w:marBottom w:val="0"/>
      <w:divBdr>
        <w:top w:val="none" w:sz="0" w:space="0" w:color="auto"/>
        <w:left w:val="none" w:sz="0" w:space="0" w:color="auto"/>
        <w:bottom w:val="none" w:sz="0" w:space="0" w:color="auto"/>
        <w:right w:val="none" w:sz="0" w:space="0" w:color="auto"/>
      </w:divBdr>
    </w:div>
    <w:div w:id="755904021">
      <w:bodyDiv w:val="1"/>
      <w:marLeft w:val="0"/>
      <w:marRight w:val="0"/>
      <w:marTop w:val="0"/>
      <w:marBottom w:val="0"/>
      <w:divBdr>
        <w:top w:val="none" w:sz="0" w:space="0" w:color="auto"/>
        <w:left w:val="none" w:sz="0" w:space="0" w:color="auto"/>
        <w:bottom w:val="none" w:sz="0" w:space="0" w:color="auto"/>
        <w:right w:val="none" w:sz="0" w:space="0" w:color="auto"/>
      </w:divBdr>
    </w:div>
    <w:div w:id="769466460">
      <w:bodyDiv w:val="1"/>
      <w:marLeft w:val="0"/>
      <w:marRight w:val="0"/>
      <w:marTop w:val="0"/>
      <w:marBottom w:val="0"/>
      <w:divBdr>
        <w:top w:val="none" w:sz="0" w:space="0" w:color="auto"/>
        <w:left w:val="none" w:sz="0" w:space="0" w:color="auto"/>
        <w:bottom w:val="none" w:sz="0" w:space="0" w:color="auto"/>
        <w:right w:val="none" w:sz="0" w:space="0" w:color="auto"/>
      </w:divBdr>
    </w:div>
    <w:div w:id="802578710">
      <w:bodyDiv w:val="1"/>
      <w:marLeft w:val="0"/>
      <w:marRight w:val="0"/>
      <w:marTop w:val="0"/>
      <w:marBottom w:val="0"/>
      <w:divBdr>
        <w:top w:val="none" w:sz="0" w:space="0" w:color="auto"/>
        <w:left w:val="none" w:sz="0" w:space="0" w:color="auto"/>
        <w:bottom w:val="none" w:sz="0" w:space="0" w:color="auto"/>
        <w:right w:val="none" w:sz="0" w:space="0" w:color="auto"/>
      </w:divBdr>
    </w:div>
    <w:div w:id="814949281">
      <w:bodyDiv w:val="1"/>
      <w:marLeft w:val="0"/>
      <w:marRight w:val="0"/>
      <w:marTop w:val="0"/>
      <w:marBottom w:val="0"/>
      <w:divBdr>
        <w:top w:val="none" w:sz="0" w:space="0" w:color="auto"/>
        <w:left w:val="none" w:sz="0" w:space="0" w:color="auto"/>
        <w:bottom w:val="none" w:sz="0" w:space="0" w:color="auto"/>
        <w:right w:val="none" w:sz="0" w:space="0" w:color="auto"/>
      </w:divBdr>
    </w:div>
    <w:div w:id="850803399">
      <w:bodyDiv w:val="1"/>
      <w:marLeft w:val="0"/>
      <w:marRight w:val="0"/>
      <w:marTop w:val="0"/>
      <w:marBottom w:val="0"/>
      <w:divBdr>
        <w:top w:val="none" w:sz="0" w:space="0" w:color="auto"/>
        <w:left w:val="none" w:sz="0" w:space="0" w:color="auto"/>
        <w:bottom w:val="none" w:sz="0" w:space="0" w:color="auto"/>
        <w:right w:val="none" w:sz="0" w:space="0" w:color="auto"/>
      </w:divBdr>
    </w:div>
    <w:div w:id="931475732">
      <w:bodyDiv w:val="1"/>
      <w:marLeft w:val="0"/>
      <w:marRight w:val="0"/>
      <w:marTop w:val="0"/>
      <w:marBottom w:val="0"/>
      <w:divBdr>
        <w:top w:val="none" w:sz="0" w:space="0" w:color="auto"/>
        <w:left w:val="none" w:sz="0" w:space="0" w:color="auto"/>
        <w:bottom w:val="none" w:sz="0" w:space="0" w:color="auto"/>
        <w:right w:val="none" w:sz="0" w:space="0" w:color="auto"/>
      </w:divBdr>
    </w:div>
    <w:div w:id="944190039">
      <w:bodyDiv w:val="1"/>
      <w:marLeft w:val="0"/>
      <w:marRight w:val="0"/>
      <w:marTop w:val="0"/>
      <w:marBottom w:val="0"/>
      <w:divBdr>
        <w:top w:val="none" w:sz="0" w:space="0" w:color="auto"/>
        <w:left w:val="none" w:sz="0" w:space="0" w:color="auto"/>
        <w:bottom w:val="none" w:sz="0" w:space="0" w:color="auto"/>
        <w:right w:val="none" w:sz="0" w:space="0" w:color="auto"/>
      </w:divBdr>
    </w:div>
    <w:div w:id="963854329">
      <w:bodyDiv w:val="1"/>
      <w:marLeft w:val="0"/>
      <w:marRight w:val="0"/>
      <w:marTop w:val="0"/>
      <w:marBottom w:val="0"/>
      <w:divBdr>
        <w:top w:val="none" w:sz="0" w:space="0" w:color="auto"/>
        <w:left w:val="none" w:sz="0" w:space="0" w:color="auto"/>
        <w:bottom w:val="none" w:sz="0" w:space="0" w:color="auto"/>
        <w:right w:val="none" w:sz="0" w:space="0" w:color="auto"/>
      </w:divBdr>
    </w:div>
    <w:div w:id="980891344">
      <w:bodyDiv w:val="1"/>
      <w:marLeft w:val="0"/>
      <w:marRight w:val="0"/>
      <w:marTop w:val="0"/>
      <w:marBottom w:val="0"/>
      <w:divBdr>
        <w:top w:val="none" w:sz="0" w:space="0" w:color="auto"/>
        <w:left w:val="none" w:sz="0" w:space="0" w:color="auto"/>
        <w:bottom w:val="none" w:sz="0" w:space="0" w:color="auto"/>
        <w:right w:val="none" w:sz="0" w:space="0" w:color="auto"/>
      </w:divBdr>
    </w:div>
    <w:div w:id="1037046396">
      <w:bodyDiv w:val="1"/>
      <w:marLeft w:val="0"/>
      <w:marRight w:val="0"/>
      <w:marTop w:val="0"/>
      <w:marBottom w:val="0"/>
      <w:divBdr>
        <w:top w:val="none" w:sz="0" w:space="0" w:color="auto"/>
        <w:left w:val="none" w:sz="0" w:space="0" w:color="auto"/>
        <w:bottom w:val="none" w:sz="0" w:space="0" w:color="auto"/>
        <w:right w:val="none" w:sz="0" w:space="0" w:color="auto"/>
      </w:divBdr>
    </w:div>
    <w:div w:id="1160850652">
      <w:bodyDiv w:val="1"/>
      <w:marLeft w:val="0"/>
      <w:marRight w:val="0"/>
      <w:marTop w:val="0"/>
      <w:marBottom w:val="0"/>
      <w:divBdr>
        <w:top w:val="none" w:sz="0" w:space="0" w:color="auto"/>
        <w:left w:val="none" w:sz="0" w:space="0" w:color="auto"/>
        <w:bottom w:val="none" w:sz="0" w:space="0" w:color="auto"/>
        <w:right w:val="none" w:sz="0" w:space="0" w:color="auto"/>
      </w:divBdr>
    </w:div>
    <w:div w:id="1283077462">
      <w:bodyDiv w:val="1"/>
      <w:marLeft w:val="0"/>
      <w:marRight w:val="0"/>
      <w:marTop w:val="0"/>
      <w:marBottom w:val="0"/>
      <w:divBdr>
        <w:top w:val="none" w:sz="0" w:space="0" w:color="auto"/>
        <w:left w:val="none" w:sz="0" w:space="0" w:color="auto"/>
        <w:bottom w:val="none" w:sz="0" w:space="0" w:color="auto"/>
        <w:right w:val="none" w:sz="0" w:space="0" w:color="auto"/>
      </w:divBdr>
    </w:div>
    <w:div w:id="1285581777">
      <w:bodyDiv w:val="1"/>
      <w:marLeft w:val="0"/>
      <w:marRight w:val="0"/>
      <w:marTop w:val="0"/>
      <w:marBottom w:val="0"/>
      <w:divBdr>
        <w:top w:val="none" w:sz="0" w:space="0" w:color="auto"/>
        <w:left w:val="none" w:sz="0" w:space="0" w:color="auto"/>
        <w:bottom w:val="none" w:sz="0" w:space="0" w:color="auto"/>
        <w:right w:val="none" w:sz="0" w:space="0" w:color="auto"/>
      </w:divBdr>
    </w:div>
    <w:div w:id="1288661305">
      <w:bodyDiv w:val="1"/>
      <w:marLeft w:val="0"/>
      <w:marRight w:val="0"/>
      <w:marTop w:val="0"/>
      <w:marBottom w:val="0"/>
      <w:divBdr>
        <w:top w:val="none" w:sz="0" w:space="0" w:color="auto"/>
        <w:left w:val="none" w:sz="0" w:space="0" w:color="auto"/>
        <w:bottom w:val="none" w:sz="0" w:space="0" w:color="auto"/>
        <w:right w:val="none" w:sz="0" w:space="0" w:color="auto"/>
      </w:divBdr>
    </w:div>
    <w:div w:id="1318798831">
      <w:bodyDiv w:val="1"/>
      <w:marLeft w:val="0"/>
      <w:marRight w:val="0"/>
      <w:marTop w:val="0"/>
      <w:marBottom w:val="0"/>
      <w:divBdr>
        <w:top w:val="none" w:sz="0" w:space="0" w:color="auto"/>
        <w:left w:val="none" w:sz="0" w:space="0" w:color="auto"/>
        <w:bottom w:val="none" w:sz="0" w:space="0" w:color="auto"/>
        <w:right w:val="none" w:sz="0" w:space="0" w:color="auto"/>
      </w:divBdr>
    </w:div>
    <w:div w:id="1330526406">
      <w:bodyDiv w:val="1"/>
      <w:marLeft w:val="0"/>
      <w:marRight w:val="0"/>
      <w:marTop w:val="0"/>
      <w:marBottom w:val="0"/>
      <w:divBdr>
        <w:top w:val="none" w:sz="0" w:space="0" w:color="auto"/>
        <w:left w:val="none" w:sz="0" w:space="0" w:color="auto"/>
        <w:bottom w:val="none" w:sz="0" w:space="0" w:color="auto"/>
        <w:right w:val="none" w:sz="0" w:space="0" w:color="auto"/>
      </w:divBdr>
    </w:div>
    <w:div w:id="1348556705">
      <w:bodyDiv w:val="1"/>
      <w:marLeft w:val="0"/>
      <w:marRight w:val="0"/>
      <w:marTop w:val="0"/>
      <w:marBottom w:val="0"/>
      <w:divBdr>
        <w:top w:val="none" w:sz="0" w:space="0" w:color="auto"/>
        <w:left w:val="none" w:sz="0" w:space="0" w:color="auto"/>
        <w:bottom w:val="none" w:sz="0" w:space="0" w:color="auto"/>
        <w:right w:val="none" w:sz="0" w:space="0" w:color="auto"/>
      </w:divBdr>
    </w:div>
    <w:div w:id="1357152189">
      <w:bodyDiv w:val="1"/>
      <w:marLeft w:val="0"/>
      <w:marRight w:val="0"/>
      <w:marTop w:val="0"/>
      <w:marBottom w:val="0"/>
      <w:divBdr>
        <w:top w:val="none" w:sz="0" w:space="0" w:color="auto"/>
        <w:left w:val="none" w:sz="0" w:space="0" w:color="auto"/>
        <w:bottom w:val="none" w:sz="0" w:space="0" w:color="auto"/>
        <w:right w:val="none" w:sz="0" w:space="0" w:color="auto"/>
      </w:divBdr>
    </w:div>
    <w:div w:id="1416976581">
      <w:bodyDiv w:val="1"/>
      <w:marLeft w:val="0"/>
      <w:marRight w:val="0"/>
      <w:marTop w:val="0"/>
      <w:marBottom w:val="0"/>
      <w:divBdr>
        <w:top w:val="none" w:sz="0" w:space="0" w:color="auto"/>
        <w:left w:val="none" w:sz="0" w:space="0" w:color="auto"/>
        <w:bottom w:val="none" w:sz="0" w:space="0" w:color="auto"/>
        <w:right w:val="none" w:sz="0" w:space="0" w:color="auto"/>
      </w:divBdr>
      <w:divsChild>
        <w:div w:id="853541191">
          <w:marLeft w:val="0"/>
          <w:marRight w:val="0"/>
          <w:marTop w:val="0"/>
          <w:marBottom w:val="0"/>
          <w:divBdr>
            <w:top w:val="none" w:sz="0" w:space="0" w:color="auto"/>
            <w:left w:val="none" w:sz="0" w:space="0" w:color="auto"/>
            <w:bottom w:val="none" w:sz="0" w:space="0" w:color="auto"/>
            <w:right w:val="none" w:sz="0" w:space="0" w:color="auto"/>
          </w:divBdr>
          <w:divsChild>
            <w:div w:id="1795296527">
              <w:marLeft w:val="0"/>
              <w:marRight w:val="0"/>
              <w:marTop w:val="0"/>
              <w:marBottom w:val="0"/>
              <w:divBdr>
                <w:top w:val="none" w:sz="0" w:space="0" w:color="auto"/>
                <w:left w:val="none" w:sz="0" w:space="0" w:color="auto"/>
                <w:bottom w:val="none" w:sz="0" w:space="0" w:color="auto"/>
                <w:right w:val="none" w:sz="0" w:space="0" w:color="auto"/>
              </w:divBdr>
            </w:div>
            <w:div w:id="83260042">
              <w:marLeft w:val="0"/>
              <w:marRight w:val="0"/>
              <w:marTop w:val="0"/>
              <w:marBottom w:val="0"/>
              <w:divBdr>
                <w:top w:val="none" w:sz="0" w:space="0" w:color="auto"/>
                <w:left w:val="none" w:sz="0" w:space="0" w:color="auto"/>
                <w:bottom w:val="none" w:sz="0" w:space="0" w:color="auto"/>
                <w:right w:val="none" w:sz="0" w:space="0" w:color="auto"/>
              </w:divBdr>
            </w:div>
          </w:divsChild>
        </w:div>
        <w:div w:id="1135025686">
          <w:marLeft w:val="0"/>
          <w:marRight w:val="0"/>
          <w:marTop w:val="0"/>
          <w:marBottom w:val="0"/>
          <w:divBdr>
            <w:top w:val="none" w:sz="0" w:space="0" w:color="auto"/>
            <w:left w:val="none" w:sz="0" w:space="0" w:color="auto"/>
            <w:bottom w:val="none" w:sz="0" w:space="0" w:color="auto"/>
            <w:right w:val="none" w:sz="0" w:space="0" w:color="auto"/>
          </w:divBdr>
          <w:divsChild>
            <w:div w:id="9528805">
              <w:marLeft w:val="0"/>
              <w:marRight w:val="0"/>
              <w:marTop w:val="0"/>
              <w:marBottom w:val="0"/>
              <w:divBdr>
                <w:top w:val="none" w:sz="0" w:space="0" w:color="auto"/>
                <w:left w:val="none" w:sz="0" w:space="0" w:color="auto"/>
                <w:bottom w:val="none" w:sz="0" w:space="0" w:color="auto"/>
                <w:right w:val="none" w:sz="0" w:space="0" w:color="auto"/>
              </w:divBdr>
            </w:div>
            <w:div w:id="417094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7441741">
      <w:bodyDiv w:val="1"/>
      <w:marLeft w:val="0"/>
      <w:marRight w:val="0"/>
      <w:marTop w:val="0"/>
      <w:marBottom w:val="0"/>
      <w:divBdr>
        <w:top w:val="none" w:sz="0" w:space="0" w:color="auto"/>
        <w:left w:val="none" w:sz="0" w:space="0" w:color="auto"/>
        <w:bottom w:val="none" w:sz="0" w:space="0" w:color="auto"/>
        <w:right w:val="none" w:sz="0" w:space="0" w:color="auto"/>
      </w:divBdr>
      <w:divsChild>
        <w:div w:id="2060394086">
          <w:marLeft w:val="0"/>
          <w:marRight w:val="0"/>
          <w:marTop w:val="0"/>
          <w:marBottom w:val="0"/>
          <w:divBdr>
            <w:top w:val="none" w:sz="0" w:space="0" w:color="auto"/>
            <w:left w:val="none" w:sz="0" w:space="0" w:color="auto"/>
            <w:bottom w:val="none" w:sz="0" w:space="0" w:color="auto"/>
            <w:right w:val="none" w:sz="0" w:space="0" w:color="auto"/>
          </w:divBdr>
        </w:div>
        <w:div w:id="885220100">
          <w:marLeft w:val="0"/>
          <w:marRight w:val="0"/>
          <w:marTop w:val="0"/>
          <w:marBottom w:val="0"/>
          <w:divBdr>
            <w:top w:val="none" w:sz="0" w:space="0" w:color="auto"/>
            <w:left w:val="none" w:sz="0" w:space="0" w:color="auto"/>
            <w:bottom w:val="none" w:sz="0" w:space="0" w:color="auto"/>
            <w:right w:val="none" w:sz="0" w:space="0" w:color="auto"/>
          </w:divBdr>
        </w:div>
        <w:div w:id="1219589851">
          <w:marLeft w:val="0"/>
          <w:marRight w:val="0"/>
          <w:marTop w:val="0"/>
          <w:marBottom w:val="0"/>
          <w:divBdr>
            <w:top w:val="none" w:sz="0" w:space="0" w:color="auto"/>
            <w:left w:val="none" w:sz="0" w:space="0" w:color="auto"/>
            <w:bottom w:val="none" w:sz="0" w:space="0" w:color="auto"/>
            <w:right w:val="none" w:sz="0" w:space="0" w:color="auto"/>
          </w:divBdr>
        </w:div>
        <w:div w:id="1849251306">
          <w:marLeft w:val="0"/>
          <w:marRight w:val="0"/>
          <w:marTop w:val="0"/>
          <w:marBottom w:val="0"/>
          <w:divBdr>
            <w:top w:val="none" w:sz="0" w:space="0" w:color="auto"/>
            <w:left w:val="none" w:sz="0" w:space="0" w:color="auto"/>
            <w:bottom w:val="none" w:sz="0" w:space="0" w:color="auto"/>
            <w:right w:val="none" w:sz="0" w:space="0" w:color="auto"/>
          </w:divBdr>
        </w:div>
        <w:div w:id="120849521">
          <w:marLeft w:val="0"/>
          <w:marRight w:val="0"/>
          <w:marTop w:val="0"/>
          <w:marBottom w:val="0"/>
          <w:divBdr>
            <w:top w:val="none" w:sz="0" w:space="0" w:color="auto"/>
            <w:left w:val="none" w:sz="0" w:space="0" w:color="auto"/>
            <w:bottom w:val="none" w:sz="0" w:space="0" w:color="auto"/>
            <w:right w:val="none" w:sz="0" w:space="0" w:color="auto"/>
          </w:divBdr>
        </w:div>
        <w:div w:id="1956325676">
          <w:marLeft w:val="0"/>
          <w:marRight w:val="0"/>
          <w:marTop w:val="0"/>
          <w:marBottom w:val="0"/>
          <w:divBdr>
            <w:top w:val="none" w:sz="0" w:space="0" w:color="auto"/>
            <w:left w:val="none" w:sz="0" w:space="0" w:color="auto"/>
            <w:bottom w:val="none" w:sz="0" w:space="0" w:color="auto"/>
            <w:right w:val="none" w:sz="0" w:space="0" w:color="auto"/>
          </w:divBdr>
        </w:div>
        <w:div w:id="310794378">
          <w:marLeft w:val="0"/>
          <w:marRight w:val="0"/>
          <w:marTop w:val="0"/>
          <w:marBottom w:val="0"/>
          <w:divBdr>
            <w:top w:val="none" w:sz="0" w:space="0" w:color="auto"/>
            <w:left w:val="none" w:sz="0" w:space="0" w:color="auto"/>
            <w:bottom w:val="none" w:sz="0" w:space="0" w:color="auto"/>
            <w:right w:val="none" w:sz="0" w:space="0" w:color="auto"/>
          </w:divBdr>
        </w:div>
        <w:div w:id="1001005804">
          <w:marLeft w:val="0"/>
          <w:marRight w:val="0"/>
          <w:marTop w:val="0"/>
          <w:marBottom w:val="0"/>
          <w:divBdr>
            <w:top w:val="none" w:sz="0" w:space="0" w:color="auto"/>
            <w:left w:val="none" w:sz="0" w:space="0" w:color="auto"/>
            <w:bottom w:val="none" w:sz="0" w:space="0" w:color="auto"/>
            <w:right w:val="none" w:sz="0" w:space="0" w:color="auto"/>
          </w:divBdr>
        </w:div>
      </w:divsChild>
    </w:div>
    <w:div w:id="1422683898">
      <w:bodyDiv w:val="1"/>
      <w:marLeft w:val="0"/>
      <w:marRight w:val="0"/>
      <w:marTop w:val="0"/>
      <w:marBottom w:val="0"/>
      <w:divBdr>
        <w:top w:val="none" w:sz="0" w:space="0" w:color="auto"/>
        <w:left w:val="none" w:sz="0" w:space="0" w:color="auto"/>
        <w:bottom w:val="none" w:sz="0" w:space="0" w:color="auto"/>
        <w:right w:val="none" w:sz="0" w:space="0" w:color="auto"/>
      </w:divBdr>
      <w:divsChild>
        <w:div w:id="1915971506">
          <w:marLeft w:val="0"/>
          <w:marRight w:val="0"/>
          <w:marTop w:val="0"/>
          <w:marBottom w:val="0"/>
          <w:divBdr>
            <w:top w:val="none" w:sz="0" w:space="0" w:color="auto"/>
            <w:left w:val="none" w:sz="0" w:space="0" w:color="auto"/>
            <w:bottom w:val="none" w:sz="0" w:space="0" w:color="auto"/>
            <w:right w:val="none" w:sz="0" w:space="0" w:color="auto"/>
          </w:divBdr>
        </w:div>
        <w:div w:id="776214095">
          <w:marLeft w:val="0"/>
          <w:marRight w:val="0"/>
          <w:marTop w:val="0"/>
          <w:marBottom w:val="0"/>
          <w:divBdr>
            <w:top w:val="none" w:sz="0" w:space="0" w:color="auto"/>
            <w:left w:val="none" w:sz="0" w:space="0" w:color="auto"/>
            <w:bottom w:val="none" w:sz="0" w:space="0" w:color="auto"/>
            <w:right w:val="none" w:sz="0" w:space="0" w:color="auto"/>
          </w:divBdr>
        </w:div>
        <w:div w:id="1615290839">
          <w:marLeft w:val="0"/>
          <w:marRight w:val="0"/>
          <w:marTop w:val="0"/>
          <w:marBottom w:val="0"/>
          <w:divBdr>
            <w:top w:val="none" w:sz="0" w:space="0" w:color="auto"/>
            <w:left w:val="none" w:sz="0" w:space="0" w:color="auto"/>
            <w:bottom w:val="none" w:sz="0" w:space="0" w:color="auto"/>
            <w:right w:val="none" w:sz="0" w:space="0" w:color="auto"/>
          </w:divBdr>
        </w:div>
        <w:div w:id="281421537">
          <w:marLeft w:val="0"/>
          <w:marRight w:val="0"/>
          <w:marTop w:val="0"/>
          <w:marBottom w:val="0"/>
          <w:divBdr>
            <w:top w:val="none" w:sz="0" w:space="0" w:color="auto"/>
            <w:left w:val="none" w:sz="0" w:space="0" w:color="auto"/>
            <w:bottom w:val="none" w:sz="0" w:space="0" w:color="auto"/>
            <w:right w:val="none" w:sz="0" w:space="0" w:color="auto"/>
          </w:divBdr>
        </w:div>
        <w:div w:id="350837703">
          <w:marLeft w:val="0"/>
          <w:marRight w:val="0"/>
          <w:marTop w:val="0"/>
          <w:marBottom w:val="0"/>
          <w:divBdr>
            <w:top w:val="none" w:sz="0" w:space="0" w:color="auto"/>
            <w:left w:val="none" w:sz="0" w:space="0" w:color="auto"/>
            <w:bottom w:val="none" w:sz="0" w:space="0" w:color="auto"/>
            <w:right w:val="none" w:sz="0" w:space="0" w:color="auto"/>
          </w:divBdr>
        </w:div>
        <w:div w:id="1958097704">
          <w:marLeft w:val="0"/>
          <w:marRight w:val="0"/>
          <w:marTop w:val="0"/>
          <w:marBottom w:val="0"/>
          <w:divBdr>
            <w:top w:val="none" w:sz="0" w:space="0" w:color="auto"/>
            <w:left w:val="none" w:sz="0" w:space="0" w:color="auto"/>
            <w:bottom w:val="none" w:sz="0" w:space="0" w:color="auto"/>
            <w:right w:val="none" w:sz="0" w:space="0" w:color="auto"/>
          </w:divBdr>
        </w:div>
        <w:div w:id="635839599">
          <w:marLeft w:val="0"/>
          <w:marRight w:val="0"/>
          <w:marTop w:val="0"/>
          <w:marBottom w:val="0"/>
          <w:divBdr>
            <w:top w:val="none" w:sz="0" w:space="0" w:color="auto"/>
            <w:left w:val="none" w:sz="0" w:space="0" w:color="auto"/>
            <w:bottom w:val="none" w:sz="0" w:space="0" w:color="auto"/>
            <w:right w:val="none" w:sz="0" w:space="0" w:color="auto"/>
          </w:divBdr>
        </w:div>
        <w:div w:id="1240557100">
          <w:marLeft w:val="0"/>
          <w:marRight w:val="0"/>
          <w:marTop w:val="0"/>
          <w:marBottom w:val="0"/>
          <w:divBdr>
            <w:top w:val="none" w:sz="0" w:space="0" w:color="auto"/>
            <w:left w:val="none" w:sz="0" w:space="0" w:color="auto"/>
            <w:bottom w:val="none" w:sz="0" w:space="0" w:color="auto"/>
            <w:right w:val="none" w:sz="0" w:space="0" w:color="auto"/>
          </w:divBdr>
        </w:div>
        <w:div w:id="998846574">
          <w:marLeft w:val="0"/>
          <w:marRight w:val="0"/>
          <w:marTop w:val="0"/>
          <w:marBottom w:val="0"/>
          <w:divBdr>
            <w:top w:val="none" w:sz="0" w:space="0" w:color="auto"/>
            <w:left w:val="none" w:sz="0" w:space="0" w:color="auto"/>
            <w:bottom w:val="none" w:sz="0" w:space="0" w:color="auto"/>
            <w:right w:val="none" w:sz="0" w:space="0" w:color="auto"/>
          </w:divBdr>
        </w:div>
        <w:div w:id="2063745554">
          <w:marLeft w:val="0"/>
          <w:marRight w:val="0"/>
          <w:marTop w:val="0"/>
          <w:marBottom w:val="0"/>
          <w:divBdr>
            <w:top w:val="none" w:sz="0" w:space="0" w:color="auto"/>
            <w:left w:val="none" w:sz="0" w:space="0" w:color="auto"/>
            <w:bottom w:val="none" w:sz="0" w:space="0" w:color="auto"/>
            <w:right w:val="none" w:sz="0" w:space="0" w:color="auto"/>
          </w:divBdr>
        </w:div>
        <w:div w:id="974986768">
          <w:marLeft w:val="0"/>
          <w:marRight w:val="0"/>
          <w:marTop w:val="0"/>
          <w:marBottom w:val="0"/>
          <w:divBdr>
            <w:top w:val="none" w:sz="0" w:space="0" w:color="auto"/>
            <w:left w:val="none" w:sz="0" w:space="0" w:color="auto"/>
            <w:bottom w:val="none" w:sz="0" w:space="0" w:color="auto"/>
            <w:right w:val="none" w:sz="0" w:space="0" w:color="auto"/>
          </w:divBdr>
        </w:div>
        <w:div w:id="1690639053">
          <w:marLeft w:val="0"/>
          <w:marRight w:val="0"/>
          <w:marTop w:val="0"/>
          <w:marBottom w:val="0"/>
          <w:divBdr>
            <w:top w:val="none" w:sz="0" w:space="0" w:color="auto"/>
            <w:left w:val="none" w:sz="0" w:space="0" w:color="auto"/>
            <w:bottom w:val="none" w:sz="0" w:space="0" w:color="auto"/>
            <w:right w:val="none" w:sz="0" w:space="0" w:color="auto"/>
          </w:divBdr>
        </w:div>
        <w:div w:id="862939320">
          <w:marLeft w:val="0"/>
          <w:marRight w:val="0"/>
          <w:marTop w:val="0"/>
          <w:marBottom w:val="0"/>
          <w:divBdr>
            <w:top w:val="none" w:sz="0" w:space="0" w:color="auto"/>
            <w:left w:val="none" w:sz="0" w:space="0" w:color="auto"/>
            <w:bottom w:val="none" w:sz="0" w:space="0" w:color="auto"/>
            <w:right w:val="none" w:sz="0" w:space="0" w:color="auto"/>
          </w:divBdr>
        </w:div>
        <w:div w:id="31269228">
          <w:marLeft w:val="0"/>
          <w:marRight w:val="0"/>
          <w:marTop w:val="0"/>
          <w:marBottom w:val="0"/>
          <w:divBdr>
            <w:top w:val="none" w:sz="0" w:space="0" w:color="auto"/>
            <w:left w:val="none" w:sz="0" w:space="0" w:color="auto"/>
            <w:bottom w:val="none" w:sz="0" w:space="0" w:color="auto"/>
            <w:right w:val="none" w:sz="0" w:space="0" w:color="auto"/>
          </w:divBdr>
        </w:div>
        <w:div w:id="979968134">
          <w:marLeft w:val="0"/>
          <w:marRight w:val="0"/>
          <w:marTop w:val="0"/>
          <w:marBottom w:val="0"/>
          <w:divBdr>
            <w:top w:val="none" w:sz="0" w:space="0" w:color="auto"/>
            <w:left w:val="none" w:sz="0" w:space="0" w:color="auto"/>
            <w:bottom w:val="none" w:sz="0" w:space="0" w:color="auto"/>
            <w:right w:val="none" w:sz="0" w:space="0" w:color="auto"/>
          </w:divBdr>
        </w:div>
        <w:div w:id="1237279069">
          <w:marLeft w:val="0"/>
          <w:marRight w:val="0"/>
          <w:marTop w:val="0"/>
          <w:marBottom w:val="0"/>
          <w:divBdr>
            <w:top w:val="none" w:sz="0" w:space="0" w:color="auto"/>
            <w:left w:val="none" w:sz="0" w:space="0" w:color="auto"/>
            <w:bottom w:val="none" w:sz="0" w:space="0" w:color="auto"/>
            <w:right w:val="none" w:sz="0" w:space="0" w:color="auto"/>
          </w:divBdr>
        </w:div>
        <w:div w:id="1164203659">
          <w:marLeft w:val="0"/>
          <w:marRight w:val="0"/>
          <w:marTop w:val="0"/>
          <w:marBottom w:val="0"/>
          <w:divBdr>
            <w:top w:val="none" w:sz="0" w:space="0" w:color="auto"/>
            <w:left w:val="none" w:sz="0" w:space="0" w:color="auto"/>
            <w:bottom w:val="none" w:sz="0" w:space="0" w:color="auto"/>
            <w:right w:val="none" w:sz="0" w:space="0" w:color="auto"/>
          </w:divBdr>
        </w:div>
        <w:div w:id="1011252464">
          <w:marLeft w:val="0"/>
          <w:marRight w:val="0"/>
          <w:marTop w:val="0"/>
          <w:marBottom w:val="0"/>
          <w:divBdr>
            <w:top w:val="none" w:sz="0" w:space="0" w:color="auto"/>
            <w:left w:val="none" w:sz="0" w:space="0" w:color="auto"/>
            <w:bottom w:val="none" w:sz="0" w:space="0" w:color="auto"/>
            <w:right w:val="none" w:sz="0" w:space="0" w:color="auto"/>
          </w:divBdr>
        </w:div>
        <w:div w:id="916019428">
          <w:marLeft w:val="0"/>
          <w:marRight w:val="0"/>
          <w:marTop w:val="0"/>
          <w:marBottom w:val="0"/>
          <w:divBdr>
            <w:top w:val="none" w:sz="0" w:space="0" w:color="auto"/>
            <w:left w:val="none" w:sz="0" w:space="0" w:color="auto"/>
            <w:bottom w:val="none" w:sz="0" w:space="0" w:color="auto"/>
            <w:right w:val="none" w:sz="0" w:space="0" w:color="auto"/>
          </w:divBdr>
        </w:div>
        <w:div w:id="986592744">
          <w:marLeft w:val="0"/>
          <w:marRight w:val="0"/>
          <w:marTop w:val="0"/>
          <w:marBottom w:val="0"/>
          <w:divBdr>
            <w:top w:val="none" w:sz="0" w:space="0" w:color="auto"/>
            <w:left w:val="none" w:sz="0" w:space="0" w:color="auto"/>
            <w:bottom w:val="none" w:sz="0" w:space="0" w:color="auto"/>
            <w:right w:val="none" w:sz="0" w:space="0" w:color="auto"/>
          </w:divBdr>
        </w:div>
        <w:div w:id="353070862">
          <w:marLeft w:val="0"/>
          <w:marRight w:val="0"/>
          <w:marTop w:val="0"/>
          <w:marBottom w:val="0"/>
          <w:divBdr>
            <w:top w:val="none" w:sz="0" w:space="0" w:color="auto"/>
            <w:left w:val="none" w:sz="0" w:space="0" w:color="auto"/>
            <w:bottom w:val="none" w:sz="0" w:space="0" w:color="auto"/>
            <w:right w:val="none" w:sz="0" w:space="0" w:color="auto"/>
          </w:divBdr>
        </w:div>
        <w:div w:id="460226147">
          <w:marLeft w:val="0"/>
          <w:marRight w:val="0"/>
          <w:marTop w:val="0"/>
          <w:marBottom w:val="0"/>
          <w:divBdr>
            <w:top w:val="none" w:sz="0" w:space="0" w:color="auto"/>
            <w:left w:val="none" w:sz="0" w:space="0" w:color="auto"/>
            <w:bottom w:val="none" w:sz="0" w:space="0" w:color="auto"/>
            <w:right w:val="none" w:sz="0" w:space="0" w:color="auto"/>
          </w:divBdr>
        </w:div>
        <w:div w:id="984503028">
          <w:marLeft w:val="0"/>
          <w:marRight w:val="0"/>
          <w:marTop w:val="0"/>
          <w:marBottom w:val="0"/>
          <w:divBdr>
            <w:top w:val="none" w:sz="0" w:space="0" w:color="auto"/>
            <w:left w:val="none" w:sz="0" w:space="0" w:color="auto"/>
            <w:bottom w:val="none" w:sz="0" w:space="0" w:color="auto"/>
            <w:right w:val="none" w:sz="0" w:space="0" w:color="auto"/>
          </w:divBdr>
        </w:div>
        <w:div w:id="1757823256">
          <w:marLeft w:val="0"/>
          <w:marRight w:val="0"/>
          <w:marTop w:val="0"/>
          <w:marBottom w:val="0"/>
          <w:divBdr>
            <w:top w:val="none" w:sz="0" w:space="0" w:color="auto"/>
            <w:left w:val="none" w:sz="0" w:space="0" w:color="auto"/>
            <w:bottom w:val="none" w:sz="0" w:space="0" w:color="auto"/>
            <w:right w:val="none" w:sz="0" w:space="0" w:color="auto"/>
          </w:divBdr>
        </w:div>
        <w:div w:id="1258364976">
          <w:marLeft w:val="0"/>
          <w:marRight w:val="0"/>
          <w:marTop w:val="0"/>
          <w:marBottom w:val="0"/>
          <w:divBdr>
            <w:top w:val="none" w:sz="0" w:space="0" w:color="auto"/>
            <w:left w:val="none" w:sz="0" w:space="0" w:color="auto"/>
            <w:bottom w:val="none" w:sz="0" w:space="0" w:color="auto"/>
            <w:right w:val="none" w:sz="0" w:space="0" w:color="auto"/>
          </w:divBdr>
        </w:div>
        <w:div w:id="1902060480">
          <w:marLeft w:val="0"/>
          <w:marRight w:val="0"/>
          <w:marTop w:val="0"/>
          <w:marBottom w:val="0"/>
          <w:divBdr>
            <w:top w:val="none" w:sz="0" w:space="0" w:color="auto"/>
            <w:left w:val="none" w:sz="0" w:space="0" w:color="auto"/>
            <w:bottom w:val="none" w:sz="0" w:space="0" w:color="auto"/>
            <w:right w:val="none" w:sz="0" w:space="0" w:color="auto"/>
          </w:divBdr>
        </w:div>
        <w:div w:id="13769444">
          <w:marLeft w:val="0"/>
          <w:marRight w:val="0"/>
          <w:marTop w:val="0"/>
          <w:marBottom w:val="0"/>
          <w:divBdr>
            <w:top w:val="none" w:sz="0" w:space="0" w:color="auto"/>
            <w:left w:val="none" w:sz="0" w:space="0" w:color="auto"/>
            <w:bottom w:val="none" w:sz="0" w:space="0" w:color="auto"/>
            <w:right w:val="none" w:sz="0" w:space="0" w:color="auto"/>
          </w:divBdr>
        </w:div>
        <w:div w:id="971978198">
          <w:marLeft w:val="0"/>
          <w:marRight w:val="0"/>
          <w:marTop w:val="0"/>
          <w:marBottom w:val="0"/>
          <w:divBdr>
            <w:top w:val="none" w:sz="0" w:space="0" w:color="auto"/>
            <w:left w:val="none" w:sz="0" w:space="0" w:color="auto"/>
            <w:bottom w:val="none" w:sz="0" w:space="0" w:color="auto"/>
            <w:right w:val="none" w:sz="0" w:space="0" w:color="auto"/>
          </w:divBdr>
        </w:div>
        <w:div w:id="2061517404">
          <w:marLeft w:val="0"/>
          <w:marRight w:val="0"/>
          <w:marTop w:val="0"/>
          <w:marBottom w:val="0"/>
          <w:divBdr>
            <w:top w:val="none" w:sz="0" w:space="0" w:color="auto"/>
            <w:left w:val="none" w:sz="0" w:space="0" w:color="auto"/>
            <w:bottom w:val="none" w:sz="0" w:space="0" w:color="auto"/>
            <w:right w:val="none" w:sz="0" w:space="0" w:color="auto"/>
          </w:divBdr>
        </w:div>
        <w:div w:id="1551574868">
          <w:marLeft w:val="0"/>
          <w:marRight w:val="0"/>
          <w:marTop w:val="0"/>
          <w:marBottom w:val="0"/>
          <w:divBdr>
            <w:top w:val="none" w:sz="0" w:space="0" w:color="auto"/>
            <w:left w:val="none" w:sz="0" w:space="0" w:color="auto"/>
            <w:bottom w:val="none" w:sz="0" w:space="0" w:color="auto"/>
            <w:right w:val="none" w:sz="0" w:space="0" w:color="auto"/>
          </w:divBdr>
        </w:div>
        <w:div w:id="1642538585">
          <w:marLeft w:val="0"/>
          <w:marRight w:val="0"/>
          <w:marTop w:val="0"/>
          <w:marBottom w:val="0"/>
          <w:divBdr>
            <w:top w:val="none" w:sz="0" w:space="0" w:color="auto"/>
            <w:left w:val="none" w:sz="0" w:space="0" w:color="auto"/>
            <w:bottom w:val="none" w:sz="0" w:space="0" w:color="auto"/>
            <w:right w:val="none" w:sz="0" w:space="0" w:color="auto"/>
          </w:divBdr>
        </w:div>
        <w:div w:id="1048338273">
          <w:marLeft w:val="0"/>
          <w:marRight w:val="0"/>
          <w:marTop w:val="0"/>
          <w:marBottom w:val="0"/>
          <w:divBdr>
            <w:top w:val="none" w:sz="0" w:space="0" w:color="auto"/>
            <w:left w:val="none" w:sz="0" w:space="0" w:color="auto"/>
            <w:bottom w:val="none" w:sz="0" w:space="0" w:color="auto"/>
            <w:right w:val="none" w:sz="0" w:space="0" w:color="auto"/>
          </w:divBdr>
        </w:div>
        <w:div w:id="1131821548">
          <w:marLeft w:val="0"/>
          <w:marRight w:val="0"/>
          <w:marTop w:val="0"/>
          <w:marBottom w:val="0"/>
          <w:divBdr>
            <w:top w:val="none" w:sz="0" w:space="0" w:color="auto"/>
            <w:left w:val="none" w:sz="0" w:space="0" w:color="auto"/>
            <w:bottom w:val="none" w:sz="0" w:space="0" w:color="auto"/>
            <w:right w:val="none" w:sz="0" w:space="0" w:color="auto"/>
          </w:divBdr>
        </w:div>
        <w:div w:id="999581844">
          <w:marLeft w:val="0"/>
          <w:marRight w:val="0"/>
          <w:marTop w:val="0"/>
          <w:marBottom w:val="0"/>
          <w:divBdr>
            <w:top w:val="none" w:sz="0" w:space="0" w:color="auto"/>
            <w:left w:val="none" w:sz="0" w:space="0" w:color="auto"/>
            <w:bottom w:val="none" w:sz="0" w:space="0" w:color="auto"/>
            <w:right w:val="none" w:sz="0" w:space="0" w:color="auto"/>
          </w:divBdr>
        </w:div>
        <w:div w:id="558589063">
          <w:marLeft w:val="0"/>
          <w:marRight w:val="0"/>
          <w:marTop w:val="0"/>
          <w:marBottom w:val="0"/>
          <w:divBdr>
            <w:top w:val="none" w:sz="0" w:space="0" w:color="auto"/>
            <w:left w:val="none" w:sz="0" w:space="0" w:color="auto"/>
            <w:bottom w:val="none" w:sz="0" w:space="0" w:color="auto"/>
            <w:right w:val="none" w:sz="0" w:space="0" w:color="auto"/>
          </w:divBdr>
        </w:div>
        <w:div w:id="660740672">
          <w:marLeft w:val="0"/>
          <w:marRight w:val="0"/>
          <w:marTop w:val="0"/>
          <w:marBottom w:val="0"/>
          <w:divBdr>
            <w:top w:val="none" w:sz="0" w:space="0" w:color="auto"/>
            <w:left w:val="none" w:sz="0" w:space="0" w:color="auto"/>
            <w:bottom w:val="none" w:sz="0" w:space="0" w:color="auto"/>
            <w:right w:val="none" w:sz="0" w:space="0" w:color="auto"/>
          </w:divBdr>
        </w:div>
        <w:div w:id="484858433">
          <w:marLeft w:val="0"/>
          <w:marRight w:val="0"/>
          <w:marTop w:val="0"/>
          <w:marBottom w:val="0"/>
          <w:divBdr>
            <w:top w:val="none" w:sz="0" w:space="0" w:color="auto"/>
            <w:left w:val="none" w:sz="0" w:space="0" w:color="auto"/>
            <w:bottom w:val="none" w:sz="0" w:space="0" w:color="auto"/>
            <w:right w:val="none" w:sz="0" w:space="0" w:color="auto"/>
          </w:divBdr>
        </w:div>
        <w:div w:id="101729761">
          <w:marLeft w:val="0"/>
          <w:marRight w:val="0"/>
          <w:marTop w:val="0"/>
          <w:marBottom w:val="0"/>
          <w:divBdr>
            <w:top w:val="none" w:sz="0" w:space="0" w:color="auto"/>
            <w:left w:val="none" w:sz="0" w:space="0" w:color="auto"/>
            <w:bottom w:val="none" w:sz="0" w:space="0" w:color="auto"/>
            <w:right w:val="none" w:sz="0" w:space="0" w:color="auto"/>
          </w:divBdr>
        </w:div>
        <w:div w:id="1867062810">
          <w:marLeft w:val="0"/>
          <w:marRight w:val="0"/>
          <w:marTop w:val="0"/>
          <w:marBottom w:val="0"/>
          <w:divBdr>
            <w:top w:val="none" w:sz="0" w:space="0" w:color="auto"/>
            <w:left w:val="none" w:sz="0" w:space="0" w:color="auto"/>
            <w:bottom w:val="none" w:sz="0" w:space="0" w:color="auto"/>
            <w:right w:val="none" w:sz="0" w:space="0" w:color="auto"/>
          </w:divBdr>
        </w:div>
        <w:div w:id="1333679024">
          <w:marLeft w:val="0"/>
          <w:marRight w:val="0"/>
          <w:marTop w:val="0"/>
          <w:marBottom w:val="0"/>
          <w:divBdr>
            <w:top w:val="none" w:sz="0" w:space="0" w:color="auto"/>
            <w:left w:val="none" w:sz="0" w:space="0" w:color="auto"/>
            <w:bottom w:val="none" w:sz="0" w:space="0" w:color="auto"/>
            <w:right w:val="none" w:sz="0" w:space="0" w:color="auto"/>
          </w:divBdr>
        </w:div>
        <w:div w:id="818426392">
          <w:marLeft w:val="0"/>
          <w:marRight w:val="0"/>
          <w:marTop w:val="0"/>
          <w:marBottom w:val="0"/>
          <w:divBdr>
            <w:top w:val="none" w:sz="0" w:space="0" w:color="auto"/>
            <w:left w:val="none" w:sz="0" w:space="0" w:color="auto"/>
            <w:bottom w:val="none" w:sz="0" w:space="0" w:color="auto"/>
            <w:right w:val="none" w:sz="0" w:space="0" w:color="auto"/>
          </w:divBdr>
        </w:div>
        <w:div w:id="1529174133">
          <w:marLeft w:val="0"/>
          <w:marRight w:val="0"/>
          <w:marTop w:val="0"/>
          <w:marBottom w:val="0"/>
          <w:divBdr>
            <w:top w:val="none" w:sz="0" w:space="0" w:color="auto"/>
            <w:left w:val="none" w:sz="0" w:space="0" w:color="auto"/>
            <w:bottom w:val="none" w:sz="0" w:space="0" w:color="auto"/>
            <w:right w:val="none" w:sz="0" w:space="0" w:color="auto"/>
          </w:divBdr>
        </w:div>
        <w:div w:id="725222402">
          <w:marLeft w:val="0"/>
          <w:marRight w:val="0"/>
          <w:marTop w:val="0"/>
          <w:marBottom w:val="0"/>
          <w:divBdr>
            <w:top w:val="none" w:sz="0" w:space="0" w:color="auto"/>
            <w:left w:val="none" w:sz="0" w:space="0" w:color="auto"/>
            <w:bottom w:val="none" w:sz="0" w:space="0" w:color="auto"/>
            <w:right w:val="none" w:sz="0" w:space="0" w:color="auto"/>
          </w:divBdr>
        </w:div>
        <w:div w:id="928389225">
          <w:marLeft w:val="0"/>
          <w:marRight w:val="0"/>
          <w:marTop w:val="0"/>
          <w:marBottom w:val="0"/>
          <w:divBdr>
            <w:top w:val="none" w:sz="0" w:space="0" w:color="auto"/>
            <w:left w:val="none" w:sz="0" w:space="0" w:color="auto"/>
            <w:bottom w:val="none" w:sz="0" w:space="0" w:color="auto"/>
            <w:right w:val="none" w:sz="0" w:space="0" w:color="auto"/>
          </w:divBdr>
        </w:div>
        <w:div w:id="269825009">
          <w:marLeft w:val="0"/>
          <w:marRight w:val="0"/>
          <w:marTop w:val="0"/>
          <w:marBottom w:val="0"/>
          <w:divBdr>
            <w:top w:val="none" w:sz="0" w:space="0" w:color="auto"/>
            <w:left w:val="none" w:sz="0" w:space="0" w:color="auto"/>
            <w:bottom w:val="none" w:sz="0" w:space="0" w:color="auto"/>
            <w:right w:val="none" w:sz="0" w:space="0" w:color="auto"/>
          </w:divBdr>
        </w:div>
        <w:div w:id="1051199103">
          <w:marLeft w:val="0"/>
          <w:marRight w:val="0"/>
          <w:marTop w:val="0"/>
          <w:marBottom w:val="0"/>
          <w:divBdr>
            <w:top w:val="none" w:sz="0" w:space="0" w:color="auto"/>
            <w:left w:val="none" w:sz="0" w:space="0" w:color="auto"/>
            <w:bottom w:val="none" w:sz="0" w:space="0" w:color="auto"/>
            <w:right w:val="none" w:sz="0" w:space="0" w:color="auto"/>
          </w:divBdr>
        </w:div>
        <w:div w:id="889463502">
          <w:marLeft w:val="0"/>
          <w:marRight w:val="0"/>
          <w:marTop w:val="0"/>
          <w:marBottom w:val="0"/>
          <w:divBdr>
            <w:top w:val="none" w:sz="0" w:space="0" w:color="auto"/>
            <w:left w:val="none" w:sz="0" w:space="0" w:color="auto"/>
            <w:bottom w:val="none" w:sz="0" w:space="0" w:color="auto"/>
            <w:right w:val="none" w:sz="0" w:space="0" w:color="auto"/>
          </w:divBdr>
        </w:div>
        <w:div w:id="1216232729">
          <w:marLeft w:val="0"/>
          <w:marRight w:val="0"/>
          <w:marTop w:val="0"/>
          <w:marBottom w:val="0"/>
          <w:divBdr>
            <w:top w:val="none" w:sz="0" w:space="0" w:color="auto"/>
            <w:left w:val="none" w:sz="0" w:space="0" w:color="auto"/>
            <w:bottom w:val="none" w:sz="0" w:space="0" w:color="auto"/>
            <w:right w:val="none" w:sz="0" w:space="0" w:color="auto"/>
          </w:divBdr>
        </w:div>
        <w:div w:id="212887842">
          <w:marLeft w:val="0"/>
          <w:marRight w:val="0"/>
          <w:marTop w:val="0"/>
          <w:marBottom w:val="0"/>
          <w:divBdr>
            <w:top w:val="none" w:sz="0" w:space="0" w:color="auto"/>
            <w:left w:val="none" w:sz="0" w:space="0" w:color="auto"/>
            <w:bottom w:val="none" w:sz="0" w:space="0" w:color="auto"/>
            <w:right w:val="none" w:sz="0" w:space="0" w:color="auto"/>
          </w:divBdr>
        </w:div>
        <w:div w:id="1973439700">
          <w:marLeft w:val="0"/>
          <w:marRight w:val="0"/>
          <w:marTop w:val="0"/>
          <w:marBottom w:val="0"/>
          <w:divBdr>
            <w:top w:val="none" w:sz="0" w:space="0" w:color="auto"/>
            <w:left w:val="none" w:sz="0" w:space="0" w:color="auto"/>
            <w:bottom w:val="none" w:sz="0" w:space="0" w:color="auto"/>
            <w:right w:val="none" w:sz="0" w:space="0" w:color="auto"/>
          </w:divBdr>
        </w:div>
        <w:div w:id="244845465">
          <w:marLeft w:val="0"/>
          <w:marRight w:val="0"/>
          <w:marTop w:val="0"/>
          <w:marBottom w:val="0"/>
          <w:divBdr>
            <w:top w:val="none" w:sz="0" w:space="0" w:color="auto"/>
            <w:left w:val="none" w:sz="0" w:space="0" w:color="auto"/>
            <w:bottom w:val="none" w:sz="0" w:space="0" w:color="auto"/>
            <w:right w:val="none" w:sz="0" w:space="0" w:color="auto"/>
          </w:divBdr>
        </w:div>
        <w:div w:id="2016489367">
          <w:marLeft w:val="0"/>
          <w:marRight w:val="0"/>
          <w:marTop w:val="0"/>
          <w:marBottom w:val="0"/>
          <w:divBdr>
            <w:top w:val="none" w:sz="0" w:space="0" w:color="auto"/>
            <w:left w:val="none" w:sz="0" w:space="0" w:color="auto"/>
            <w:bottom w:val="none" w:sz="0" w:space="0" w:color="auto"/>
            <w:right w:val="none" w:sz="0" w:space="0" w:color="auto"/>
          </w:divBdr>
        </w:div>
        <w:div w:id="1207638234">
          <w:marLeft w:val="0"/>
          <w:marRight w:val="0"/>
          <w:marTop w:val="0"/>
          <w:marBottom w:val="0"/>
          <w:divBdr>
            <w:top w:val="none" w:sz="0" w:space="0" w:color="auto"/>
            <w:left w:val="none" w:sz="0" w:space="0" w:color="auto"/>
            <w:bottom w:val="none" w:sz="0" w:space="0" w:color="auto"/>
            <w:right w:val="none" w:sz="0" w:space="0" w:color="auto"/>
          </w:divBdr>
        </w:div>
        <w:div w:id="1847742940">
          <w:marLeft w:val="0"/>
          <w:marRight w:val="0"/>
          <w:marTop w:val="0"/>
          <w:marBottom w:val="0"/>
          <w:divBdr>
            <w:top w:val="none" w:sz="0" w:space="0" w:color="auto"/>
            <w:left w:val="none" w:sz="0" w:space="0" w:color="auto"/>
            <w:bottom w:val="none" w:sz="0" w:space="0" w:color="auto"/>
            <w:right w:val="none" w:sz="0" w:space="0" w:color="auto"/>
          </w:divBdr>
        </w:div>
        <w:div w:id="14579030">
          <w:marLeft w:val="0"/>
          <w:marRight w:val="0"/>
          <w:marTop w:val="0"/>
          <w:marBottom w:val="0"/>
          <w:divBdr>
            <w:top w:val="none" w:sz="0" w:space="0" w:color="auto"/>
            <w:left w:val="none" w:sz="0" w:space="0" w:color="auto"/>
            <w:bottom w:val="none" w:sz="0" w:space="0" w:color="auto"/>
            <w:right w:val="none" w:sz="0" w:space="0" w:color="auto"/>
          </w:divBdr>
        </w:div>
        <w:div w:id="397679026">
          <w:marLeft w:val="0"/>
          <w:marRight w:val="0"/>
          <w:marTop w:val="0"/>
          <w:marBottom w:val="0"/>
          <w:divBdr>
            <w:top w:val="none" w:sz="0" w:space="0" w:color="auto"/>
            <w:left w:val="none" w:sz="0" w:space="0" w:color="auto"/>
            <w:bottom w:val="none" w:sz="0" w:space="0" w:color="auto"/>
            <w:right w:val="none" w:sz="0" w:space="0" w:color="auto"/>
          </w:divBdr>
        </w:div>
        <w:div w:id="1563130898">
          <w:marLeft w:val="0"/>
          <w:marRight w:val="0"/>
          <w:marTop w:val="0"/>
          <w:marBottom w:val="0"/>
          <w:divBdr>
            <w:top w:val="none" w:sz="0" w:space="0" w:color="auto"/>
            <w:left w:val="none" w:sz="0" w:space="0" w:color="auto"/>
            <w:bottom w:val="none" w:sz="0" w:space="0" w:color="auto"/>
            <w:right w:val="none" w:sz="0" w:space="0" w:color="auto"/>
          </w:divBdr>
        </w:div>
        <w:div w:id="2014523565">
          <w:marLeft w:val="0"/>
          <w:marRight w:val="0"/>
          <w:marTop w:val="0"/>
          <w:marBottom w:val="0"/>
          <w:divBdr>
            <w:top w:val="none" w:sz="0" w:space="0" w:color="auto"/>
            <w:left w:val="none" w:sz="0" w:space="0" w:color="auto"/>
            <w:bottom w:val="none" w:sz="0" w:space="0" w:color="auto"/>
            <w:right w:val="none" w:sz="0" w:space="0" w:color="auto"/>
          </w:divBdr>
        </w:div>
        <w:div w:id="2119788284">
          <w:marLeft w:val="0"/>
          <w:marRight w:val="0"/>
          <w:marTop w:val="0"/>
          <w:marBottom w:val="0"/>
          <w:divBdr>
            <w:top w:val="none" w:sz="0" w:space="0" w:color="auto"/>
            <w:left w:val="none" w:sz="0" w:space="0" w:color="auto"/>
            <w:bottom w:val="none" w:sz="0" w:space="0" w:color="auto"/>
            <w:right w:val="none" w:sz="0" w:space="0" w:color="auto"/>
          </w:divBdr>
        </w:div>
        <w:div w:id="2049061251">
          <w:marLeft w:val="0"/>
          <w:marRight w:val="0"/>
          <w:marTop w:val="0"/>
          <w:marBottom w:val="0"/>
          <w:divBdr>
            <w:top w:val="none" w:sz="0" w:space="0" w:color="auto"/>
            <w:left w:val="none" w:sz="0" w:space="0" w:color="auto"/>
            <w:bottom w:val="none" w:sz="0" w:space="0" w:color="auto"/>
            <w:right w:val="none" w:sz="0" w:space="0" w:color="auto"/>
          </w:divBdr>
        </w:div>
        <w:div w:id="357707031">
          <w:marLeft w:val="0"/>
          <w:marRight w:val="0"/>
          <w:marTop w:val="0"/>
          <w:marBottom w:val="0"/>
          <w:divBdr>
            <w:top w:val="none" w:sz="0" w:space="0" w:color="auto"/>
            <w:left w:val="none" w:sz="0" w:space="0" w:color="auto"/>
            <w:bottom w:val="none" w:sz="0" w:space="0" w:color="auto"/>
            <w:right w:val="none" w:sz="0" w:space="0" w:color="auto"/>
          </w:divBdr>
        </w:div>
        <w:div w:id="1795903273">
          <w:marLeft w:val="0"/>
          <w:marRight w:val="0"/>
          <w:marTop w:val="0"/>
          <w:marBottom w:val="0"/>
          <w:divBdr>
            <w:top w:val="none" w:sz="0" w:space="0" w:color="auto"/>
            <w:left w:val="none" w:sz="0" w:space="0" w:color="auto"/>
            <w:bottom w:val="none" w:sz="0" w:space="0" w:color="auto"/>
            <w:right w:val="none" w:sz="0" w:space="0" w:color="auto"/>
          </w:divBdr>
        </w:div>
        <w:div w:id="94180945">
          <w:marLeft w:val="0"/>
          <w:marRight w:val="0"/>
          <w:marTop w:val="0"/>
          <w:marBottom w:val="0"/>
          <w:divBdr>
            <w:top w:val="none" w:sz="0" w:space="0" w:color="auto"/>
            <w:left w:val="none" w:sz="0" w:space="0" w:color="auto"/>
            <w:bottom w:val="none" w:sz="0" w:space="0" w:color="auto"/>
            <w:right w:val="none" w:sz="0" w:space="0" w:color="auto"/>
          </w:divBdr>
        </w:div>
        <w:div w:id="1012147110">
          <w:marLeft w:val="0"/>
          <w:marRight w:val="0"/>
          <w:marTop w:val="0"/>
          <w:marBottom w:val="0"/>
          <w:divBdr>
            <w:top w:val="none" w:sz="0" w:space="0" w:color="auto"/>
            <w:left w:val="none" w:sz="0" w:space="0" w:color="auto"/>
            <w:bottom w:val="none" w:sz="0" w:space="0" w:color="auto"/>
            <w:right w:val="none" w:sz="0" w:space="0" w:color="auto"/>
          </w:divBdr>
        </w:div>
        <w:div w:id="675771742">
          <w:marLeft w:val="0"/>
          <w:marRight w:val="0"/>
          <w:marTop w:val="0"/>
          <w:marBottom w:val="0"/>
          <w:divBdr>
            <w:top w:val="none" w:sz="0" w:space="0" w:color="auto"/>
            <w:left w:val="none" w:sz="0" w:space="0" w:color="auto"/>
            <w:bottom w:val="none" w:sz="0" w:space="0" w:color="auto"/>
            <w:right w:val="none" w:sz="0" w:space="0" w:color="auto"/>
          </w:divBdr>
        </w:div>
        <w:div w:id="1220357498">
          <w:marLeft w:val="0"/>
          <w:marRight w:val="0"/>
          <w:marTop w:val="0"/>
          <w:marBottom w:val="0"/>
          <w:divBdr>
            <w:top w:val="none" w:sz="0" w:space="0" w:color="auto"/>
            <w:left w:val="none" w:sz="0" w:space="0" w:color="auto"/>
            <w:bottom w:val="none" w:sz="0" w:space="0" w:color="auto"/>
            <w:right w:val="none" w:sz="0" w:space="0" w:color="auto"/>
          </w:divBdr>
        </w:div>
        <w:div w:id="1206453746">
          <w:marLeft w:val="0"/>
          <w:marRight w:val="0"/>
          <w:marTop w:val="0"/>
          <w:marBottom w:val="0"/>
          <w:divBdr>
            <w:top w:val="none" w:sz="0" w:space="0" w:color="auto"/>
            <w:left w:val="none" w:sz="0" w:space="0" w:color="auto"/>
            <w:bottom w:val="none" w:sz="0" w:space="0" w:color="auto"/>
            <w:right w:val="none" w:sz="0" w:space="0" w:color="auto"/>
          </w:divBdr>
        </w:div>
        <w:div w:id="484203005">
          <w:marLeft w:val="0"/>
          <w:marRight w:val="0"/>
          <w:marTop w:val="0"/>
          <w:marBottom w:val="0"/>
          <w:divBdr>
            <w:top w:val="none" w:sz="0" w:space="0" w:color="auto"/>
            <w:left w:val="none" w:sz="0" w:space="0" w:color="auto"/>
            <w:bottom w:val="none" w:sz="0" w:space="0" w:color="auto"/>
            <w:right w:val="none" w:sz="0" w:space="0" w:color="auto"/>
          </w:divBdr>
        </w:div>
      </w:divsChild>
    </w:div>
    <w:div w:id="1426654992">
      <w:bodyDiv w:val="1"/>
      <w:marLeft w:val="0"/>
      <w:marRight w:val="0"/>
      <w:marTop w:val="0"/>
      <w:marBottom w:val="0"/>
      <w:divBdr>
        <w:top w:val="none" w:sz="0" w:space="0" w:color="auto"/>
        <w:left w:val="none" w:sz="0" w:space="0" w:color="auto"/>
        <w:bottom w:val="none" w:sz="0" w:space="0" w:color="auto"/>
        <w:right w:val="none" w:sz="0" w:space="0" w:color="auto"/>
      </w:divBdr>
    </w:div>
    <w:div w:id="1442914332">
      <w:bodyDiv w:val="1"/>
      <w:marLeft w:val="0"/>
      <w:marRight w:val="0"/>
      <w:marTop w:val="0"/>
      <w:marBottom w:val="0"/>
      <w:divBdr>
        <w:top w:val="none" w:sz="0" w:space="0" w:color="auto"/>
        <w:left w:val="none" w:sz="0" w:space="0" w:color="auto"/>
        <w:bottom w:val="none" w:sz="0" w:space="0" w:color="auto"/>
        <w:right w:val="none" w:sz="0" w:space="0" w:color="auto"/>
      </w:divBdr>
    </w:div>
    <w:div w:id="1531453346">
      <w:bodyDiv w:val="1"/>
      <w:marLeft w:val="0"/>
      <w:marRight w:val="0"/>
      <w:marTop w:val="0"/>
      <w:marBottom w:val="0"/>
      <w:divBdr>
        <w:top w:val="none" w:sz="0" w:space="0" w:color="auto"/>
        <w:left w:val="none" w:sz="0" w:space="0" w:color="auto"/>
        <w:bottom w:val="none" w:sz="0" w:space="0" w:color="auto"/>
        <w:right w:val="none" w:sz="0" w:space="0" w:color="auto"/>
      </w:divBdr>
    </w:div>
    <w:div w:id="1534228577">
      <w:bodyDiv w:val="1"/>
      <w:marLeft w:val="0"/>
      <w:marRight w:val="0"/>
      <w:marTop w:val="0"/>
      <w:marBottom w:val="0"/>
      <w:divBdr>
        <w:top w:val="none" w:sz="0" w:space="0" w:color="auto"/>
        <w:left w:val="none" w:sz="0" w:space="0" w:color="auto"/>
        <w:bottom w:val="none" w:sz="0" w:space="0" w:color="auto"/>
        <w:right w:val="none" w:sz="0" w:space="0" w:color="auto"/>
      </w:divBdr>
    </w:div>
    <w:div w:id="1619750350">
      <w:bodyDiv w:val="1"/>
      <w:marLeft w:val="0"/>
      <w:marRight w:val="0"/>
      <w:marTop w:val="0"/>
      <w:marBottom w:val="0"/>
      <w:divBdr>
        <w:top w:val="none" w:sz="0" w:space="0" w:color="auto"/>
        <w:left w:val="none" w:sz="0" w:space="0" w:color="auto"/>
        <w:bottom w:val="none" w:sz="0" w:space="0" w:color="auto"/>
        <w:right w:val="none" w:sz="0" w:space="0" w:color="auto"/>
      </w:divBdr>
    </w:div>
    <w:div w:id="1663966849">
      <w:bodyDiv w:val="1"/>
      <w:marLeft w:val="0"/>
      <w:marRight w:val="0"/>
      <w:marTop w:val="0"/>
      <w:marBottom w:val="0"/>
      <w:divBdr>
        <w:top w:val="none" w:sz="0" w:space="0" w:color="auto"/>
        <w:left w:val="none" w:sz="0" w:space="0" w:color="auto"/>
        <w:bottom w:val="none" w:sz="0" w:space="0" w:color="auto"/>
        <w:right w:val="none" w:sz="0" w:space="0" w:color="auto"/>
      </w:divBdr>
    </w:div>
    <w:div w:id="1698463325">
      <w:bodyDiv w:val="1"/>
      <w:marLeft w:val="0"/>
      <w:marRight w:val="0"/>
      <w:marTop w:val="0"/>
      <w:marBottom w:val="0"/>
      <w:divBdr>
        <w:top w:val="none" w:sz="0" w:space="0" w:color="auto"/>
        <w:left w:val="none" w:sz="0" w:space="0" w:color="auto"/>
        <w:bottom w:val="none" w:sz="0" w:space="0" w:color="auto"/>
        <w:right w:val="none" w:sz="0" w:space="0" w:color="auto"/>
      </w:divBdr>
    </w:div>
    <w:div w:id="1731659841">
      <w:bodyDiv w:val="1"/>
      <w:marLeft w:val="0"/>
      <w:marRight w:val="0"/>
      <w:marTop w:val="0"/>
      <w:marBottom w:val="0"/>
      <w:divBdr>
        <w:top w:val="none" w:sz="0" w:space="0" w:color="auto"/>
        <w:left w:val="none" w:sz="0" w:space="0" w:color="auto"/>
        <w:bottom w:val="none" w:sz="0" w:space="0" w:color="auto"/>
        <w:right w:val="none" w:sz="0" w:space="0" w:color="auto"/>
      </w:divBdr>
    </w:div>
    <w:div w:id="1752310198">
      <w:bodyDiv w:val="1"/>
      <w:marLeft w:val="0"/>
      <w:marRight w:val="0"/>
      <w:marTop w:val="0"/>
      <w:marBottom w:val="0"/>
      <w:divBdr>
        <w:top w:val="none" w:sz="0" w:space="0" w:color="auto"/>
        <w:left w:val="none" w:sz="0" w:space="0" w:color="auto"/>
        <w:bottom w:val="none" w:sz="0" w:space="0" w:color="auto"/>
        <w:right w:val="none" w:sz="0" w:space="0" w:color="auto"/>
      </w:divBdr>
    </w:div>
    <w:div w:id="1778061302">
      <w:bodyDiv w:val="1"/>
      <w:marLeft w:val="0"/>
      <w:marRight w:val="0"/>
      <w:marTop w:val="0"/>
      <w:marBottom w:val="0"/>
      <w:divBdr>
        <w:top w:val="none" w:sz="0" w:space="0" w:color="auto"/>
        <w:left w:val="none" w:sz="0" w:space="0" w:color="auto"/>
        <w:bottom w:val="none" w:sz="0" w:space="0" w:color="auto"/>
        <w:right w:val="none" w:sz="0" w:space="0" w:color="auto"/>
      </w:divBdr>
    </w:div>
    <w:div w:id="1809740916">
      <w:bodyDiv w:val="1"/>
      <w:marLeft w:val="0"/>
      <w:marRight w:val="0"/>
      <w:marTop w:val="0"/>
      <w:marBottom w:val="0"/>
      <w:divBdr>
        <w:top w:val="none" w:sz="0" w:space="0" w:color="auto"/>
        <w:left w:val="none" w:sz="0" w:space="0" w:color="auto"/>
        <w:bottom w:val="none" w:sz="0" w:space="0" w:color="auto"/>
        <w:right w:val="none" w:sz="0" w:space="0" w:color="auto"/>
      </w:divBdr>
    </w:div>
    <w:div w:id="1818255284">
      <w:bodyDiv w:val="1"/>
      <w:marLeft w:val="0"/>
      <w:marRight w:val="0"/>
      <w:marTop w:val="0"/>
      <w:marBottom w:val="0"/>
      <w:divBdr>
        <w:top w:val="none" w:sz="0" w:space="0" w:color="auto"/>
        <w:left w:val="none" w:sz="0" w:space="0" w:color="auto"/>
        <w:bottom w:val="none" w:sz="0" w:space="0" w:color="auto"/>
        <w:right w:val="none" w:sz="0" w:space="0" w:color="auto"/>
      </w:divBdr>
    </w:div>
    <w:div w:id="1840267147">
      <w:bodyDiv w:val="1"/>
      <w:marLeft w:val="0"/>
      <w:marRight w:val="0"/>
      <w:marTop w:val="0"/>
      <w:marBottom w:val="0"/>
      <w:divBdr>
        <w:top w:val="none" w:sz="0" w:space="0" w:color="auto"/>
        <w:left w:val="none" w:sz="0" w:space="0" w:color="auto"/>
        <w:bottom w:val="none" w:sz="0" w:space="0" w:color="auto"/>
        <w:right w:val="none" w:sz="0" w:space="0" w:color="auto"/>
      </w:divBdr>
    </w:div>
    <w:div w:id="1872452628">
      <w:bodyDiv w:val="1"/>
      <w:marLeft w:val="0"/>
      <w:marRight w:val="0"/>
      <w:marTop w:val="0"/>
      <w:marBottom w:val="0"/>
      <w:divBdr>
        <w:top w:val="none" w:sz="0" w:space="0" w:color="auto"/>
        <w:left w:val="none" w:sz="0" w:space="0" w:color="auto"/>
        <w:bottom w:val="none" w:sz="0" w:space="0" w:color="auto"/>
        <w:right w:val="none" w:sz="0" w:space="0" w:color="auto"/>
      </w:divBdr>
    </w:div>
    <w:div w:id="1909683443">
      <w:bodyDiv w:val="1"/>
      <w:marLeft w:val="0"/>
      <w:marRight w:val="0"/>
      <w:marTop w:val="0"/>
      <w:marBottom w:val="0"/>
      <w:divBdr>
        <w:top w:val="none" w:sz="0" w:space="0" w:color="auto"/>
        <w:left w:val="none" w:sz="0" w:space="0" w:color="auto"/>
        <w:bottom w:val="none" w:sz="0" w:space="0" w:color="auto"/>
        <w:right w:val="none" w:sz="0" w:space="0" w:color="auto"/>
      </w:divBdr>
    </w:div>
    <w:div w:id="1911042476">
      <w:bodyDiv w:val="1"/>
      <w:marLeft w:val="0"/>
      <w:marRight w:val="0"/>
      <w:marTop w:val="0"/>
      <w:marBottom w:val="0"/>
      <w:divBdr>
        <w:top w:val="none" w:sz="0" w:space="0" w:color="auto"/>
        <w:left w:val="none" w:sz="0" w:space="0" w:color="auto"/>
        <w:bottom w:val="none" w:sz="0" w:space="0" w:color="auto"/>
        <w:right w:val="none" w:sz="0" w:space="0" w:color="auto"/>
      </w:divBdr>
    </w:div>
    <w:div w:id="1927221956">
      <w:bodyDiv w:val="1"/>
      <w:marLeft w:val="0"/>
      <w:marRight w:val="0"/>
      <w:marTop w:val="0"/>
      <w:marBottom w:val="0"/>
      <w:divBdr>
        <w:top w:val="none" w:sz="0" w:space="0" w:color="auto"/>
        <w:left w:val="none" w:sz="0" w:space="0" w:color="auto"/>
        <w:bottom w:val="none" w:sz="0" w:space="0" w:color="auto"/>
        <w:right w:val="none" w:sz="0" w:space="0" w:color="auto"/>
      </w:divBdr>
    </w:div>
    <w:div w:id="2000117065">
      <w:bodyDiv w:val="1"/>
      <w:marLeft w:val="0"/>
      <w:marRight w:val="0"/>
      <w:marTop w:val="0"/>
      <w:marBottom w:val="0"/>
      <w:divBdr>
        <w:top w:val="none" w:sz="0" w:space="0" w:color="auto"/>
        <w:left w:val="none" w:sz="0" w:space="0" w:color="auto"/>
        <w:bottom w:val="none" w:sz="0" w:space="0" w:color="auto"/>
        <w:right w:val="none" w:sz="0" w:space="0" w:color="auto"/>
      </w:divBdr>
    </w:div>
    <w:div w:id="2004239336">
      <w:bodyDiv w:val="1"/>
      <w:marLeft w:val="0"/>
      <w:marRight w:val="0"/>
      <w:marTop w:val="0"/>
      <w:marBottom w:val="0"/>
      <w:divBdr>
        <w:top w:val="none" w:sz="0" w:space="0" w:color="auto"/>
        <w:left w:val="none" w:sz="0" w:space="0" w:color="auto"/>
        <w:bottom w:val="none" w:sz="0" w:space="0" w:color="auto"/>
        <w:right w:val="none" w:sz="0" w:space="0" w:color="auto"/>
      </w:divBdr>
    </w:div>
    <w:div w:id="2048094963">
      <w:bodyDiv w:val="1"/>
      <w:marLeft w:val="0"/>
      <w:marRight w:val="0"/>
      <w:marTop w:val="0"/>
      <w:marBottom w:val="0"/>
      <w:divBdr>
        <w:top w:val="none" w:sz="0" w:space="0" w:color="auto"/>
        <w:left w:val="none" w:sz="0" w:space="0" w:color="auto"/>
        <w:bottom w:val="none" w:sz="0" w:space="0" w:color="auto"/>
        <w:right w:val="none" w:sz="0" w:space="0" w:color="auto"/>
      </w:divBdr>
    </w:div>
    <w:div w:id="2061898656">
      <w:bodyDiv w:val="1"/>
      <w:marLeft w:val="0"/>
      <w:marRight w:val="0"/>
      <w:marTop w:val="0"/>
      <w:marBottom w:val="0"/>
      <w:divBdr>
        <w:top w:val="none" w:sz="0" w:space="0" w:color="auto"/>
        <w:left w:val="none" w:sz="0" w:space="0" w:color="auto"/>
        <w:bottom w:val="none" w:sz="0" w:space="0" w:color="auto"/>
        <w:right w:val="none" w:sz="0" w:space="0" w:color="auto"/>
      </w:divBdr>
    </w:div>
    <w:div w:id="2075081752">
      <w:bodyDiv w:val="1"/>
      <w:marLeft w:val="0"/>
      <w:marRight w:val="0"/>
      <w:marTop w:val="0"/>
      <w:marBottom w:val="0"/>
      <w:divBdr>
        <w:top w:val="none" w:sz="0" w:space="0" w:color="auto"/>
        <w:left w:val="none" w:sz="0" w:space="0" w:color="auto"/>
        <w:bottom w:val="none" w:sz="0" w:space="0" w:color="auto"/>
        <w:right w:val="none" w:sz="0" w:space="0" w:color="auto"/>
      </w:divBdr>
    </w:div>
    <w:div w:id="2087068107">
      <w:bodyDiv w:val="1"/>
      <w:marLeft w:val="0"/>
      <w:marRight w:val="0"/>
      <w:marTop w:val="0"/>
      <w:marBottom w:val="0"/>
      <w:divBdr>
        <w:top w:val="none" w:sz="0" w:space="0" w:color="auto"/>
        <w:left w:val="none" w:sz="0" w:space="0" w:color="auto"/>
        <w:bottom w:val="none" w:sz="0" w:space="0" w:color="auto"/>
        <w:right w:val="none" w:sz="0" w:space="0" w:color="auto"/>
      </w:divBdr>
      <w:divsChild>
        <w:div w:id="1386290818">
          <w:marLeft w:val="0"/>
          <w:marRight w:val="0"/>
          <w:marTop w:val="0"/>
          <w:marBottom w:val="0"/>
          <w:divBdr>
            <w:top w:val="none" w:sz="0" w:space="0" w:color="auto"/>
            <w:left w:val="none" w:sz="0" w:space="0" w:color="auto"/>
            <w:bottom w:val="none" w:sz="0" w:space="0" w:color="auto"/>
            <w:right w:val="none" w:sz="0" w:space="0" w:color="auto"/>
          </w:divBdr>
          <w:divsChild>
            <w:div w:id="378671180">
              <w:marLeft w:val="0"/>
              <w:marRight w:val="0"/>
              <w:marTop w:val="0"/>
              <w:marBottom w:val="0"/>
              <w:divBdr>
                <w:top w:val="none" w:sz="0" w:space="0" w:color="auto"/>
                <w:left w:val="none" w:sz="0" w:space="0" w:color="auto"/>
                <w:bottom w:val="none" w:sz="0" w:space="0" w:color="auto"/>
                <w:right w:val="none" w:sz="0" w:space="0" w:color="auto"/>
              </w:divBdr>
              <w:divsChild>
                <w:div w:id="560213356">
                  <w:marLeft w:val="0"/>
                  <w:marRight w:val="0"/>
                  <w:marTop w:val="0"/>
                  <w:marBottom w:val="0"/>
                  <w:divBdr>
                    <w:top w:val="none" w:sz="0" w:space="0" w:color="auto"/>
                    <w:left w:val="none" w:sz="0" w:space="0" w:color="auto"/>
                    <w:bottom w:val="none" w:sz="0" w:space="0" w:color="auto"/>
                    <w:right w:val="none" w:sz="0" w:space="0" w:color="auto"/>
                  </w:divBdr>
                  <w:divsChild>
                    <w:div w:id="12150729">
                      <w:marLeft w:val="0"/>
                      <w:marRight w:val="0"/>
                      <w:marTop w:val="0"/>
                      <w:marBottom w:val="0"/>
                      <w:divBdr>
                        <w:top w:val="single" w:sz="6" w:space="0" w:color="D4DBE2"/>
                        <w:left w:val="none" w:sz="0" w:space="0" w:color="auto"/>
                        <w:bottom w:val="none" w:sz="0" w:space="0" w:color="auto"/>
                        <w:right w:val="none" w:sz="0" w:space="0" w:color="auto"/>
                      </w:divBdr>
                      <w:divsChild>
                        <w:div w:id="1796484169">
                          <w:marLeft w:val="0"/>
                          <w:marRight w:val="0"/>
                          <w:marTop w:val="0"/>
                          <w:marBottom w:val="300"/>
                          <w:divBdr>
                            <w:top w:val="none" w:sz="0" w:space="0" w:color="auto"/>
                            <w:left w:val="none" w:sz="0" w:space="0" w:color="auto"/>
                            <w:bottom w:val="none" w:sz="0" w:space="0" w:color="auto"/>
                            <w:right w:val="none" w:sz="0" w:space="0" w:color="auto"/>
                          </w:divBdr>
                          <w:divsChild>
                            <w:div w:id="936331305">
                              <w:marLeft w:val="0"/>
                              <w:marRight w:val="0"/>
                              <w:marTop w:val="0"/>
                              <w:marBottom w:val="0"/>
                              <w:divBdr>
                                <w:top w:val="none" w:sz="0" w:space="0" w:color="auto"/>
                                <w:left w:val="none" w:sz="0" w:space="0" w:color="auto"/>
                                <w:bottom w:val="none" w:sz="0" w:space="0" w:color="auto"/>
                                <w:right w:val="none" w:sz="0" w:space="0" w:color="auto"/>
                              </w:divBdr>
                              <w:divsChild>
                                <w:div w:id="1543517369">
                                  <w:marLeft w:val="0"/>
                                  <w:marRight w:val="0"/>
                                  <w:marTop w:val="0"/>
                                  <w:marBottom w:val="0"/>
                                  <w:divBdr>
                                    <w:top w:val="none" w:sz="0" w:space="0" w:color="auto"/>
                                    <w:left w:val="none" w:sz="0" w:space="0" w:color="auto"/>
                                    <w:bottom w:val="none" w:sz="0" w:space="0" w:color="auto"/>
                                    <w:right w:val="none" w:sz="0" w:space="0" w:color="auto"/>
                                  </w:divBdr>
                                  <w:divsChild>
                                    <w:div w:id="59525554">
                                      <w:marLeft w:val="0"/>
                                      <w:marRight w:val="0"/>
                                      <w:marTop w:val="0"/>
                                      <w:marBottom w:val="0"/>
                                      <w:divBdr>
                                        <w:top w:val="none" w:sz="0" w:space="0" w:color="auto"/>
                                        <w:left w:val="none" w:sz="0" w:space="0" w:color="auto"/>
                                        <w:bottom w:val="none" w:sz="0" w:space="0" w:color="auto"/>
                                        <w:right w:val="none" w:sz="0" w:space="0" w:color="auto"/>
                                      </w:divBdr>
                                      <w:divsChild>
                                        <w:div w:id="1583756472">
                                          <w:marLeft w:val="0"/>
                                          <w:marRight w:val="0"/>
                                          <w:marTop w:val="0"/>
                                          <w:marBottom w:val="0"/>
                                          <w:divBdr>
                                            <w:top w:val="none" w:sz="0" w:space="0" w:color="auto"/>
                                            <w:left w:val="none" w:sz="0" w:space="0" w:color="auto"/>
                                            <w:bottom w:val="none" w:sz="0" w:space="0" w:color="auto"/>
                                            <w:right w:val="none" w:sz="0" w:space="0" w:color="auto"/>
                                          </w:divBdr>
                                          <w:divsChild>
                                            <w:div w:id="680939478">
                                              <w:marLeft w:val="0"/>
                                              <w:marRight w:val="0"/>
                                              <w:marTop w:val="0"/>
                                              <w:marBottom w:val="0"/>
                                              <w:divBdr>
                                                <w:top w:val="none" w:sz="0" w:space="0" w:color="auto"/>
                                                <w:left w:val="none" w:sz="0" w:space="0" w:color="auto"/>
                                                <w:bottom w:val="none" w:sz="0" w:space="0" w:color="auto"/>
                                                <w:right w:val="none" w:sz="0" w:space="0" w:color="auto"/>
                                              </w:divBdr>
                                              <w:divsChild>
                                                <w:div w:id="1838955605">
                                                  <w:marLeft w:val="0"/>
                                                  <w:marRight w:val="0"/>
                                                  <w:marTop w:val="0"/>
                                                  <w:marBottom w:val="0"/>
                                                  <w:divBdr>
                                                    <w:top w:val="none" w:sz="0" w:space="0" w:color="auto"/>
                                                    <w:left w:val="none" w:sz="0" w:space="0" w:color="auto"/>
                                                    <w:bottom w:val="none" w:sz="0" w:space="0" w:color="auto"/>
                                                    <w:right w:val="none" w:sz="0" w:space="0" w:color="auto"/>
                                                  </w:divBdr>
                                                  <w:divsChild>
                                                    <w:div w:id="1082484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95474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5.xml"/><Relationship Id="rId18" Type="http://schemas.openxmlformats.org/officeDocument/2006/relationships/chart" Target="charts/chart4.xml"/><Relationship Id="rId26" Type="http://schemas.openxmlformats.org/officeDocument/2006/relationships/image" Target="media/image3.png"/><Relationship Id="rId3" Type="http://schemas.openxmlformats.org/officeDocument/2006/relationships/numbering" Target="numbering.xml"/><Relationship Id="rId21" Type="http://schemas.openxmlformats.org/officeDocument/2006/relationships/chart" Target="charts/chart7.xml"/><Relationship Id="rId47" Type="http://schemas.openxmlformats.org/officeDocument/2006/relationships/customXml" Target="../customXml/item6.xml"/><Relationship Id="rId7" Type="http://schemas.openxmlformats.org/officeDocument/2006/relationships/footnotes" Target="footnotes.xml"/><Relationship Id="rId12" Type="http://schemas.openxmlformats.org/officeDocument/2006/relationships/footer" Target="footer4.xml"/><Relationship Id="rId17" Type="http://schemas.openxmlformats.org/officeDocument/2006/relationships/chart" Target="charts/chart3.xml"/><Relationship Id="rId25" Type="http://schemas.openxmlformats.org/officeDocument/2006/relationships/footer" Target="footer7.xml"/><Relationship Id="rId46"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chart" Target="charts/chart2.xml"/><Relationship Id="rId20" Type="http://schemas.openxmlformats.org/officeDocument/2006/relationships/chart" Target="charts/chart6.xml"/><Relationship Id="rId29"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24" Type="http://schemas.openxmlformats.org/officeDocument/2006/relationships/image" Target="media/image2.png"/><Relationship Id="rId45" Type="http://schemas.openxmlformats.org/officeDocument/2006/relationships/customXml" Target="../customXml/item4.xml"/><Relationship Id="rId5" Type="http://schemas.openxmlformats.org/officeDocument/2006/relationships/settings" Target="settings.xml"/><Relationship Id="rId15" Type="http://schemas.openxmlformats.org/officeDocument/2006/relationships/chart" Target="charts/chart1.xml"/><Relationship Id="rId23" Type="http://schemas.openxmlformats.org/officeDocument/2006/relationships/image" Target="media/image1.png"/><Relationship Id="rId28" Type="http://schemas.openxmlformats.org/officeDocument/2006/relationships/hyperlink" Target="http://www.economy.gov.sk/index/index.php?not_commited=1&amp;" TargetMode="External"/><Relationship Id="rId10" Type="http://schemas.openxmlformats.org/officeDocument/2006/relationships/footer" Target="footer2.xml"/><Relationship Id="rId19" Type="http://schemas.openxmlformats.org/officeDocument/2006/relationships/chart" Target="charts/chart5.xml"/><Relationship Id="rId31" Type="http://schemas.openxmlformats.org/officeDocument/2006/relationships/theme" Target="theme/theme1.xml"/><Relationship Id="rId44" Type="http://schemas.openxmlformats.org/officeDocument/2006/relationships/customXml" Target="../customXml/item3.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chart" Target="charts/chart8.xml"/><Relationship Id="rId27" Type="http://schemas.openxmlformats.org/officeDocument/2006/relationships/chart" Target="charts/chart9.xml"/><Relationship Id="rId30" Type="http://schemas.openxmlformats.org/officeDocument/2006/relationships/fontTable" Target="fontTable.xml"/><Relationship Id="rId43" Type="http://schemas.microsoft.com/office/2016/09/relationships/commentsIds" Target="commentsIds.xml"/><Relationship Id="rId8" Type="http://schemas.openxmlformats.org/officeDocument/2006/relationships/endnotes" Target="endnotes.xml"/></Relationships>
</file>

<file path=word/_rels/footnotes.xml.rels><?xml version="1.0" encoding="UTF-8" standalone="yes"?>
<Relationships xmlns="http://schemas.openxmlformats.org/package/2006/relationships"><Relationship Id="rId3" Type="http://schemas.openxmlformats.org/officeDocument/2006/relationships/hyperlink" Target="http://www.rokovania.sk/Rokovanie.aspx/NezaradenyMaterialDetail?idMaterial=27132" TargetMode="External"/><Relationship Id="rId2" Type="http://schemas.openxmlformats.org/officeDocument/2006/relationships/hyperlink" Target="http://datacube.statistics.sk/" TargetMode="External"/><Relationship Id="rId1" Type="http://schemas.openxmlformats.org/officeDocument/2006/relationships/hyperlink" Target="http://statdat.statistics.sk/cognosext/cgi-bin/cognos.cgi?b_action=cognosViewer&amp;ui.action=run&amp;ui.object=storeID(%22i94C7052B240A492FB3BE8C7A487D337B%22)&amp;ui.name=Priemern%C3%A1%20mesa%C4%8Dn%C3%A1%20mzda%20v%20hospod%C3%A1rstve%20SR%20%5Bpr0204qs%5D&amp;run.outputFormat=&amp;run.prompt=true&amp;cv.header=false&amp;ui.backURL=%2Fcognosext%2Fcps4%2Fportlets%2Fcommon%2Fclose.html&amp;run.outputLocale=sk)"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H_rok_programu_Microsoft_Excel.xlsx"/></Relationships>
</file>

<file path=word/charts/_rels/chart2.xml.rels><?xml version="1.0" encoding="UTF-8" standalone="yes"?>
<Relationships xmlns="http://schemas.openxmlformats.org/package/2006/relationships"><Relationship Id="rId1" Type="http://schemas.openxmlformats.org/officeDocument/2006/relationships/package" Target="../embeddings/H_rok_programu_Microsoft_Excel1.xlsx"/></Relationships>
</file>

<file path=word/charts/_rels/chart3.xml.rels><?xml version="1.0" encoding="UTF-8" standalone="yes"?>
<Relationships xmlns="http://schemas.openxmlformats.org/package/2006/relationships"><Relationship Id="rId1" Type="http://schemas.openxmlformats.org/officeDocument/2006/relationships/package" Target="../embeddings/H_rok_programu_Microsoft_Excel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H_rok_programu_Microsoft_Excel3.xlsx"/></Relationships>
</file>

<file path=word/charts/_rels/chart5.xml.rels><?xml version="1.0" encoding="UTF-8" standalone="yes"?>
<Relationships xmlns="http://schemas.openxmlformats.org/package/2006/relationships"><Relationship Id="rId1" Type="http://schemas.openxmlformats.org/officeDocument/2006/relationships/package" Target="../embeddings/H_rok_programu_Microsoft_Excel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H_rok_programu_Microsoft_Excel5.xlsx"/></Relationships>
</file>

<file path=word/charts/_rels/chart7.xml.rels><?xml version="1.0" encoding="UTF-8" standalone="yes"?>
<Relationships xmlns="http://schemas.openxmlformats.org/package/2006/relationships"><Relationship Id="rId1" Type="http://schemas.openxmlformats.org/officeDocument/2006/relationships/package" Target="../embeddings/H_rok_programu_Microsoft_Excel6.xlsx"/></Relationships>
</file>

<file path=word/charts/_rels/chart8.xml.rels><?xml version="1.0" encoding="UTF-8" standalone="yes"?>
<Relationships xmlns="http://schemas.openxmlformats.org/package/2006/relationships"><Relationship Id="rId1" Type="http://schemas.openxmlformats.org/officeDocument/2006/relationships/package" Target="../embeddings/H_rok_programu_Microsoft_Excel7.xlsx"/></Relationships>
</file>

<file path=word/charts/_rels/chart9.xml.rels><?xml version="1.0" encoding="UTF-8" standalone="yes"?>
<Relationships xmlns="http://schemas.openxmlformats.org/package/2006/relationships"><Relationship Id="rId1" Type="http://schemas.openxmlformats.org/officeDocument/2006/relationships/package" Target="../embeddings/H_rok_programu_Microsoft_Excel8.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Hárok1!$B$1</c:f>
              <c:strCache>
                <c:ptCount val="1"/>
                <c:pt idx="0">
                  <c:v>SR</c:v>
                </c:pt>
              </c:strCache>
            </c:strRef>
          </c:tx>
          <c:spPr>
            <a:ln w="28575" cap="rnd">
              <a:solidFill>
                <a:schemeClr val="tx2">
                  <a:lumMod val="60000"/>
                  <a:lumOff val="40000"/>
                </a:schemeClr>
              </a:solidFill>
              <a:round/>
            </a:ln>
            <a:effectLst/>
          </c:spPr>
          <c:marker>
            <c:symbol val="none"/>
          </c:marker>
          <c:cat>
            <c:numRef>
              <c:f>Hárok1!$A$2:$A$11</c:f>
              <c:numCache>
                <c:formatCode>General</c:formatCode>
                <c:ptCount val="10"/>
                <c:pt idx="0">
                  <c:v>2008</c:v>
                </c:pt>
                <c:pt idx="1">
                  <c:v>2009</c:v>
                </c:pt>
                <c:pt idx="2">
                  <c:v>2010</c:v>
                </c:pt>
                <c:pt idx="3">
                  <c:v>2011</c:v>
                </c:pt>
                <c:pt idx="4">
                  <c:v>2012</c:v>
                </c:pt>
                <c:pt idx="5">
                  <c:v>2013</c:v>
                </c:pt>
                <c:pt idx="6">
                  <c:v>2014</c:v>
                </c:pt>
                <c:pt idx="7">
                  <c:v>2015</c:v>
                </c:pt>
                <c:pt idx="8">
                  <c:v>2016</c:v>
                </c:pt>
                <c:pt idx="9">
                  <c:v>2017</c:v>
                </c:pt>
              </c:numCache>
            </c:numRef>
          </c:cat>
          <c:val>
            <c:numRef>
              <c:f>Hárok1!$B$2:$B$11</c:f>
              <c:numCache>
                <c:formatCode>General</c:formatCode>
                <c:ptCount val="10"/>
                <c:pt idx="0">
                  <c:v>5.63</c:v>
                </c:pt>
                <c:pt idx="1">
                  <c:v>-5.423</c:v>
                </c:pt>
                <c:pt idx="2">
                  <c:v>5.0449999999999999</c:v>
                </c:pt>
                <c:pt idx="3">
                  <c:v>2.819</c:v>
                </c:pt>
                <c:pt idx="4">
                  <c:v>1.657</c:v>
                </c:pt>
                <c:pt idx="5">
                  <c:v>1.4910000000000001</c:v>
                </c:pt>
                <c:pt idx="6">
                  <c:v>2.75</c:v>
                </c:pt>
                <c:pt idx="7">
                  <c:v>3.85</c:v>
                </c:pt>
                <c:pt idx="8">
                  <c:v>3.3250000000000002</c:v>
                </c:pt>
                <c:pt idx="9">
                  <c:v>3.4</c:v>
                </c:pt>
              </c:numCache>
            </c:numRef>
          </c:val>
          <c:smooth val="0"/>
          <c:extLst>
            <c:ext xmlns:c16="http://schemas.microsoft.com/office/drawing/2014/chart" uri="{C3380CC4-5D6E-409C-BE32-E72D297353CC}">
              <c16:uniqueId val="{00000000-6F31-48C6-B812-D5A9D63E9CC2}"/>
            </c:ext>
          </c:extLst>
        </c:ser>
        <c:ser>
          <c:idx val="1"/>
          <c:order val="1"/>
          <c:tx>
            <c:strRef>
              <c:f>Hárok1!$C$1</c:f>
              <c:strCache>
                <c:ptCount val="1"/>
                <c:pt idx="0">
                  <c:v>EÚ-28</c:v>
                </c:pt>
              </c:strCache>
            </c:strRef>
          </c:tx>
          <c:spPr>
            <a:ln w="28575" cap="rnd">
              <a:solidFill>
                <a:srgbClr val="FF0000"/>
              </a:solidFill>
              <a:round/>
            </a:ln>
            <a:effectLst/>
          </c:spPr>
          <c:marker>
            <c:symbol val="none"/>
          </c:marker>
          <c:cat>
            <c:numRef>
              <c:f>Hárok1!$A$2:$A$11</c:f>
              <c:numCache>
                <c:formatCode>General</c:formatCode>
                <c:ptCount val="10"/>
                <c:pt idx="0">
                  <c:v>2008</c:v>
                </c:pt>
                <c:pt idx="1">
                  <c:v>2009</c:v>
                </c:pt>
                <c:pt idx="2">
                  <c:v>2010</c:v>
                </c:pt>
                <c:pt idx="3">
                  <c:v>2011</c:v>
                </c:pt>
                <c:pt idx="4">
                  <c:v>2012</c:v>
                </c:pt>
                <c:pt idx="5">
                  <c:v>2013</c:v>
                </c:pt>
                <c:pt idx="6">
                  <c:v>2014</c:v>
                </c:pt>
                <c:pt idx="7">
                  <c:v>2015</c:v>
                </c:pt>
                <c:pt idx="8">
                  <c:v>2016</c:v>
                </c:pt>
                <c:pt idx="9">
                  <c:v>2017</c:v>
                </c:pt>
              </c:numCache>
            </c:numRef>
          </c:cat>
          <c:val>
            <c:numRef>
              <c:f>Hárok1!$C$2:$C$11</c:f>
              <c:numCache>
                <c:formatCode>General</c:formatCode>
                <c:ptCount val="10"/>
                <c:pt idx="0">
                  <c:v>0.48099999999999998</c:v>
                </c:pt>
                <c:pt idx="1">
                  <c:v>-4.3609999999999998</c:v>
                </c:pt>
                <c:pt idx="2">
                  <c:v>2.1230000000000002</c:v>
                </c:pt>
                <c:pt idx="3">
                  <c:v>1.694</c:v>
                </c:pt>
                <c:pt idx="4">
                  <c:v>-0.42899999999999999</c:v>
                </c:pt>
                <c:pt idx="5">
                  <c:v>0.25900000000000001</c:v>
                </c:pt>
                <c:pt idx="6">
                  <c:v>1.7390000000000001</c:v>
                </c:pt>
                <c:pt idx="7">
                  <c:v>2.3130000000000002</c:v>
                </c:pt>
                <c:pt idx="8">
                  <c:v>1.94</c:v>
                </c:pt>
                <c:pt idx="9">
                  <c:v>2.6</c:v>
                </c:pt>
              </c:numCache>
            </c:numRef>
          </c:val>
          <c:smooth val="0"/>
          <c:extLst>
            <c:ext xmlns:c16="http://schemas.microsoft.com/office/drawing/2014/chart" uri="{C3380CC4-5D6E-409C-BE32-E72D297353CC}">
              <c16:uniqueId val="{00000001-6F31-48C6-B812-D5A9D63E9CC2}"/>
            </c:ext>
          </c:extLst>
        </c:ser>
        <c:dLbls>
          <c:showLegendKey val="0"/>
          <c:showVal val="0"/>
          <c:showCatName val="0"/>
          <c:showSerName val="0"/>
          <c:showPercent val="0"/>
          <c:showBubbleSize val="0"/>
        </c:dLbls>
        <c:smooth val="0"/>
        <c:axId val="82026880"/>
        <c:axId val="82028416"/>
      </c:lineChart>
      <c:catAx>
        <c:axId val="8202688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sk-SK"/>
          </a:p>
        </c:txPr>
        <c:crossAx val="82028416"/>
        <c:crosses val="autoZero"/>
        <c:auto val="1"/>
        <c:lblAlgn val="ctr"/>
        <c:lblOffset val="100"/>
        <c:noMultiLvlLbl val="0"/>
      </c:catAx>
      <c:valAx>
        <c:axId val="8202841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sk-SK"/>
          </a:p>
        </c:txPr>
        <c:crossAx val="82026880"/>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sk-SK"/>
        </a:p>
      </c:txPr>
    </c:legend>
    <c:plotVisOnly val="1"/>
    <c:dispBlanksAs val="gap"/>
    <c:showDLblsOverMax val="0"/>
  </c:chart>
  <c:spPr>
    <a:solidFill>
      <a:schemeClr val="bg1"/>
    </a:solidFill>
    <a:ln w="9525" cap="flat" cmpd="sng" algn="ctr">
      <a:noFill/>
      <a:round/>
    </a:ln>
    <a:effectLst/>
  </c:spPr>
  <c:txPr>
    <a:bodyPr/>
    <a:lstStyle/>
    <a:p>
      <a:pPr>
        <a:defRPr>
          <a:latin typeface="Times New Roman" panose="02020603050405020304" pitchFamily="18" charset="0"/>
          <a:cs typeface="Times New Roman" panose="02020603050405020304" pitchFamily="18" charset="0"/>
        </a:defRPr>
      </a:pPr>
      <a:endParaRPr lang="sk-SK"/>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Hárok1!$B$1</c:f>
              <c:strCache>
                <c:ptCount val="1"/>
                <c:pt idx="0">
                  <c:v>Rad 1</c:v>
                </c:pt>
              </c:strCache>
            </c:strRef>
          </c:tx>
          <c:spPr>
            <a:solidFill>
              <a:schemeClr val="tx2">
                <a:lumMod val="60000"/>
                <a:lumOff val="40000"/>
              </a:schemeClr>
            </a:solidFill>
            <a:ln>
              <a:solidFill>
                <a:schemeClr val="tx2">
                  <a:lumMod val="60000"/>
                  <a:lumOff val="40000"/>
                </a:schemeClr>
              </a:solid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sk-SK"/>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Hárok1!$A$2:$A$11</c:f>
              <c:numCache>
                <c:formatCode>General</c:formatCode>
                <c:ptCount val="10"/>
                <c:pt idx="0">
                  <c:v>2008</c:v>
                </c:pt>
                <c:pt idx="1">
                  <c:v>2009</c:v>
                </c:pt>
                <c:pt idx="2">
                  <c:v>2010</c:v>
                </c:pt>
                <c:pt idx="3">
                  <c:v>2011</c:v>
                </c:pt>
                <c:pt idx="4">
                  <c:v>2012</c:v>
                </c:pt>
                <c:pt idx="5">
                  <c:v>2013</c:v>
                </c:pt>
                <c:pt idx="6">
                  <c:v>2014</c:v>
                </c:pt>
                <c:pt idx="7">
                  <c:v>2015</c:v>
                </c:pt>
                <c:pt idx="8">
                  <c:v>2016</c:v>
                </c:pt>
                <c:pt idx="9">
                  <c:v>2017</c:v>
                </c:pt>
              </c:numCache>
            </c:numRef>
          </c:cat>
          <c:val>
            <c:numRef>
              <c:f>Hárok1!$B$2:$B$11</c:f>
              <c:numCache>
                <c:formatCode>General</c:formatCode>
                <c:ptCount val="10"/>
                <c:pt idx="0">
                  <c:v>9.6</c:v>
                </c:pt>
                <c:pt idx="1">
                  <c:v>12.1</c:v>
                </c:pt>
                <c:pt idx="2">
                  <c:v>14.5</c:v>
                </c:pt>
                <c:pt idx="3">
                  <c:v>13.7</c:v>
                </c:pt>
                <c:pt idx="4">
                  <c:v>14</c:v>
                </c:pt>
                <c:pt idx="5">
                  <c:v>14.2</c:v>
                </c:pt>
                <c:pt idx="6">
                  <c:v>13.2</c:v>
                </c:pt>
                <c:pt idx="7">
                  <c:v>11.5</c:v>
                </c:pt>
                <c:pt idx="8">
                  <c:v>9.6999999999999993</c:v>
                </c:pt>
                <c:pt idx="9">
                  <c:v>8.1</c:v>
                </c:pt>
              </c:numCache>
            </c:numRef>
          </c:val>
          <c:extLst>
            <c:ext xmlns:c16="http://schemas.microsoft.com/office/drawing/2014/chart" uri="{C3380CC4-5D6E-409C-BE32-E72D297353CC}">
              <c16:uniqueId val="{00000000-108E-40F3-87F2-C30A3E60A517}"/>
            </c:ext>
          </c:extLst>
        </c:ser>
        <c:dLbls>
          <c:dLblPos val="outEnd"/>
          <c:showLegendKey val="0"/>
          <c:showVal val="1"/>
          <c:showCatName val="0"/>
          <c:showSerName val="0"/>
          <c:showPercent val="0"/>
          <c:showBubbleSize val="0"/>
        </c:dLbls>
        <c:gapWidth val="219"/>
        <c:overlap val="-27"/>
        <c:axId val="43267200"/>
        <c:axId val="43278336"/>
      </c:barChart>
      <c:catAx>
        <c:axId val="432672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sk-SK"/>
          </a:p>
        </c:txPr>
        <c:crossAx val="43278336"/>
        <c:crosses val="autoZero"/>
        <c:auto val="1"/>
        <c:lblAlgn val="ctr"/>
        <c:lblOffset val="100"/>
        <c:noMultiLvlLbl val="0"/>
      </c:catAx>
      <c:valAx>
        <c:axId val="4327833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sk-SK"/>
          </a:p>
        </c:txPr>
        <c:crossAx val="43267200"/>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latin typeface="Times New Roman" panose="02020603050405020304" pitchFamily="18" charset="0"/>
          <a:cs typeface="Times New Roman" panose="02020603050405020304" pitchFamily="18" charset="0"/>
        </a:defRPr>
      </a:pPr>
      <a:endParaRPr lang="sk-SK"/>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Hárok1!$B$1</c:f>
              <c:strCache>
                <c:ptCount val="1"/>
                <c:pt idx="0">
                  <c:v>Stĺpec1</c:v>
                </c:pt>
              </c:strCache>
            </c:strRef>
          </c:tx>
          <c:spPr>
            <a:solidFill>
              <a:schemeClr val="tx2">
                <a:lumMod val="60000"/>
                <a:lumOff val="4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sk-SK"/>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Hárok1!$A$2:$A$11</c:f>
              <c:numCache>
                <c:formatCode>General</c:formatCode>
                <c:ptCount val="10"/>
                <c:pt idx="0">
                  <c:v>2008</c:v>
                </c:pt>
                <c:pt idx="1">
                  <c:v>2009</c:v>
                </c:pt>
                <c:pt idx="2">
                  <c:v>2010</c:v>
                </c:pt>
                <c:pt idx="3">
                  <c:v>2011</c:v>
                </c:pt>
                <c:pt idx="4">
                  <c:v>2012</c:v>
                </c:pt>
                <c:pt idx="5">
                  <c:v>2013</c:v>
                </c:pt>
                <c:pt idx="6">
                  <c:v>2014</c:v>
                </c:pt>
                <c:pt idx="7">
                  <c:v>2015</c:v>
                </c:pt>
                <c:pt idx="8">
                  <c:v>2016</c:v>
                </c:pt>
                <c:pt idx="9">
                  <c:v>2017</c:v>
                </c:pt>
              </c:numCache>
            </c:numRef>
          </c:cat>
          <c:val>
            <c:numRef>
              <c:f>Hárok1!$B$2:$B$11</c:f>
              <c:numCache>
                <c:formatCode>General</c:formatCode>
                <c:ptCount val="10"/>
                <c:pt idx="0">
                  <c:v>167.6</c:v>
                </c:pt>
                <c:pt idx="1">
                  <c:v>129</c:v>
                </c:pt>
                <c:pt idx="2">
                  <c:v>126.7</c:v>
                </c:pt>
                <c:pt idx="3">
                  <c:v>115.1</c:v>
                </c:pt>
                <c:pt idx="4">
                  <c:v>120.7</c:v>
                </c:pt>
                <c:pt idx="5">
                  <c:v>136.4</c:v>
                </c:pt>
                <c:pt idx="6">
                  <c:v>134.4</c:v>
                </c:pt>
                <c:pt idx="7">
                  <c:v>148</c:v>
                </c:pt>
                <c:pt idx="8">
                  <c:v>159.69999999999999</c:v>
                </c:pt>
                <c:pt idx="9">
                  <c:v>142.4</c:v>
                </c:pt>
              </c:numCache>
            </c:numRef>
          </c:val>
          <c:extLst>
            <c:ext xmlns:c16="http://schemas.microsoft.com/office/drawing/2014/chart" uri="{C3380CC4-5D6E-409C-BE32-E72D297353CC}">
              <c16:uniqueId val="{00000000-F0A0-407F-8E44-8B04149ACE83}"/>
            </c:ext>
          </c:extLst>
        </c:ser>
        <c:dLbls>
          <c:dLblPos val="outEnd"/>
          <c:showLegendKey val="0"/>
          <c:showVal val="1"/>
          <c:showCatName val="0"/>
          <c:showSerName val="0"/>
          <c:showPercent val="0"/>
          <c:showBubbleSize val="0"/>
        </c:dLbls>
        <c:gapWidth val="219"/>
        <c:overlap val="-27"/>
        <c:axId val="43297408"/>
        <c:axId val="43308544"/>
      </c:barChart>
      <c:catAx>
        <c:axId val="4329740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sk-SK"/>
          </a:p>
        </c:txPr>
        <c:crossAx val="43308544"/>
        <c:crosses val="autoZero"/>
        <c:auto val="1"/>
        <c:lblAlgn val="ctr"/>
        <c:lblOffset val="100"/>
        <c:noMultiLvlLbl val="0"/>
      </c:catAx>
      <c:valAx>
        <c:axId val="4330854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sk-SK"/>
          </a:p>
        </c:txPr>
        <c:crossAx val="43297408"/>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latin typeface="Times New Roman" panose="02020603050405020304" pitchFamily="18" charset="0"/>
          <a:cs typeface="Times New Roman" panose="02020603050405020304" pitchFamily="18" charset="0"/>
        </a:defRPr>
      </a:pPr>
      <a:endParaRPr lang="sk-SK"/>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Hárok1!$B$1</c:f>
              <c:strCache>
                <c:ptCount val="1"/>
                <c:pt idx="0">
                  <c:v>Rad 1</c:v>
                </c:pt>
              </c:strCache>
            </c:strRef>
          </c:tx>
          <c:spPr>
            <a:solidFill>
              <a:schemeClr val="tx2">
                <a:lumMod val="60000"/>
                <a:lumOff val="4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sk-SK"/>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Hárok1!$A$2:$A$11</c:f>
              <c:numCache>
                <c:formatCode>General</c:formatCode>
                <c:ptCount val="10"/>
                <c:pt idx="0">
                  <c:v>2008</c:v>
                </c:pt>
                <c:pt idx="1">
                  <c:v>2009</c:v>
                </c:pt>
                <c:pt idx="2">
                  <c:v>2010</c:v>
                </c:pt>
                <c:pt idx="3">
                  <c:v>2011</c:v>
                </c:pt>
                <c:pt idx="4">
                  <c:v>2012</c:v>
                </c:pt>
                <c:pt idx="5">
                  <c:v>2013</c:v>
                </c:pt>
                <c:pt idx="6">
                  <c:v>2014</c:v>
                </c:pt>
                <c:pt idx="7">
                  <c:v>2015</c:v>
                </c:pt>
                <c:pt idx="8">
                  <c:v>2016</c:v>
                </c:pt>
                <c:pt idx="9">
                  <c:v>2017</c:v>
                </c:pt>
              </c:numCache>
            </c:numRef>
          </c:cat>
          <c:val>
            <c:numRef>
              <c:f>Hárok1!$B$2:$B$11</c:f>
              <c:numCache>
                <c:formatCode>General</c:formatCode>
                <c:ptCount val="10"/>
                <c:pt idx="0">
                  <c:v>2514</c:v>
                </c:pt>
                <c:pt idx="1">
                  <c:v>2656</c:v>
                </c:pt>
                <c:pt idx="2">
                  <c:v>2982</c:v>
                </c:pt>
                <c:pt idx="3">
                  <c:v>3253</c:v>
                </c:pt>
                <c:pt idx="4" formatCode="#0">
                  <c:v>3310</c:v>
                </c:pt>
                <c:pt idx="5" formatCode="#0">
                  <c:v>3160</c:v>
                </c:pt>
                <c:pt idx="6" formatCode="#0">
                  <c:v>2548</c:v>
                </c:pt>
                <c:pt idx="7">
                  <c:v>3033</c:v>
                </c:pt>
                <c:pt idx="8">
                  <c:v>3310</c:v>
                </c:pt>
                <c:pt idx="9">
                  <c:v>8937</c:v>
                </c:pt>
              </c:numCache>
            </c:numRef>
          </c:val>
          <c:extLst>
            <c:ext xmlns:c16="http://schemas.microsoft.com/office/drawing/2014/chart" uri="{C3380CC4-5D6E-409C-BE32-E72D297353CC}">
              <c16:uniqueId val="{00000000-61B4-452C-83C0-DEB69CC1E838}"/>
            </c:ext>
          </c:extLst>
        </c:ser>
        <c:dLbls>
          <c:dLblPos val="outEnd"/>
          <c:showLegendKey val="0"/>
          <c:showVal val="1"/>
          <c:showCatName val="0"/>
          <c:showSerName val="0"/>
          <c:showPercent val="0"/>
          <c:showBubbleSize val="0"/>
        </c:dLbls>
        <c:gapWidth val="219"/>
        <c:overlap val="-27"/>
        <c:axId val="79667584"/>
        <c:axId val="79670272"/>
      </c:barChart>
      <c:catAx>
        <c:axId val="7966758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sk-SK"/>
          </a:p>
        </c:txPr>
        <c:crossAx val="79670272"/>
        <c:crosses val="autoZero"/>
        <c:auto val="1"/>
        <c:lblAlgn val="ctr"/>
        <c:lblOffset val="100"/>
        <c:noMultiLvlLbl val="0"/>
      </c:catAx>
      <c:valAx>
        <c:axId val="79670272"/>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sk-SK"/>
          </a:p>
        </c:txPr>
        <c:crossAx val="7966758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bg1"/>
      </a:solidFill>
      <a:round/>
    </a:ln>
    <a:effectLst/>
  </c:spPr>
  <c:txPr>
    <a:bodyPr/>
    <a:lstStyle/>
    <a:p>
      <a:pPr>
        <a:defRPr>
          <a:latin typeface="Times New Roman" panose="02020603050405020304" pitchFamily="18" charset="0"/>
          <a:cs typeface="Times New Roman" panose="02020603050405020304" pitchFamily="18" charset="0"/>
        </a:defRPr>
      </a:pPr>
      <a:endParaRPr lang="sk-SK"/>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Hárok1!$B$1</c:f>
              <c:strCache>
                <c:ptCount val="1"/>
                <c:pt idx="0">
                  <c:v>Priemerná mzda</c:v>
                </c:pt>
              </c:strCache>
            </c:strRef>
          </c:tx>
          <c:spPr>
            <a:ln w="28575" cap="rnd">
              <a:solidFill>
                <a:schemeClr val="tx2">
                  <a:lumMod val="60000"/>
                  <a:lumOff val="40000"/>
                </a:schemeClr>
              </a:solidFill>
              <a:round/>
            </a:ln>
            <a:effectLst/>
          </c:spPr>
          <c:marker>
            <c:symbol val="none"/>
          </c:marker>
          <c:dLbls>
            <c:dLbl>
              <c:idx val="10"/>
              <c:spPr>
                <a:noFill/>
                <a:ln>
                  <a:noFill/>
                </a:ln>
                <a:effectLst/>
              </c:spPr>
              <c:txPr>
                <a:bodyPr rot="0" spcFirstLastPara="1" vertOverflow="ellipsis" vert="horz" wrap="square" anchor="ctr" anchorCtr="1"/>
                <a:lstStyle/>
                <a:p>
                  <a:pPr>
                    <a:defRPr sz="900" b="0" i="0" u="none" strike="noStrike" kern="1200" baseline="0">
                      <a:solidFill>
                        <a:srgbClr val="FF0000"/>
                      </a:solidFill>
                      <a:latin typeface="Times New Roman" panose="02020603050405020304" pitchFamily="18" charset="0"/>
                      <a:ea typeface="+mn-ea"/>
                      <a:cs typeface="Times New Roman" panose="02020603050405020304" pitchFamily="18" charset="0"/>
                    </a:defRPr>
                  </a:pPr>
                  <a:endParaRPr lang="sk-SK"/>
                </a:p>
              </c:txPr>
              <c:dLblPos val="t"/>
              <c:showLegendKey val="0"/>
              <c:showVal val="1"/>
              <c:showCatName val="0"/>
              <c:showSerName val="0"/>
              <c:showPercent val="0"/>
              <c:showBubbleSize val="0"/>
              <c:extLst>
                <c:ext xmlns:c16="http://schemas.microsoft.com/office/drawing/2014/chart" uri="{C3380CC4-5D6E-409C-BE32-E72D297353CC}">
                  <c16:uniqueId val="{00000000-8AE9-4823-BC8B-169AC783123F}"/>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sk-SK"/>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Hárok1!$A$2:$A$12</c:f>
              <c:numCache>
                <c:formatCode>General</c:formatCode>
                <c:ptCount val="11"/>
                <c:pt idx="0">
                  <c:v>2008</c:v>
                </c:pt>
                <c:pt idx="1">
                  <c:v>2009</c:v>
                </c:pt>
                <c:pt idx="2">
                  <c:v>2010</c:v>
                </c:pt>
                <c:pt idx="3">
                  <c:v>2011</c:v>
                </c:pt>
                <c:pt idx="4">
                  <c:v>2012</c:v>
                </c:pt>
                <c:pt idx="5">
                  <c:v>2013</c:v>
                </c:pt>
                <c:pt idx="6">
                  <c:v>2014</c:v>
                </c:pt>
                <c:pt idx="7">
                  <c:v>2015</c:v>
                </c:pt>
                <c:pt idx="8">
                  <c:v>2016</c:v>
                </c:pt>
                <c:pt idx="9">
                  <c:v>2017</c:v>
                </c:pt>
              </c:numCache>
            </c:numRef>
          </c:cat>
          <c:val>
            <c:numRef>
              <c:f>Hárok1!$B$2:$B$12</c:f>
              <c:numCache>
                <c:formatCode>General</c:formatCode>
                <c:ptCount val="11"/>
                <c:pt idx="0">
                  <c:v>723.03</c:v>
                </c:pt>
                <c:pt idx="1">
                  <c:v>744.5</c:v>
                </c:pt>
                <c:pt idx="2">
                  <c:v>769</c:v>
                </c:pt>
                <c:pt idx="3">
                  <c:v>786</c:v>
                </c:pt>
                <c:pt idx="4">
                  <c:v>805</c:v>
                </c:pt>
                <c:pt idx="5">
                  <c:v>824</c:v>
                </c:pt>
                <c:pt idx="6">
                  <c:v>858</c:v>
                </c:pt>
                <c:pt idx="7">
                  <c:v>883</c:v>
                </c:pt>
                <c:pt idx="8">
                  <c:v>912</c:v>
                </c:pt>
                <c:pt idx="9">
                  <c:v>925</c:v>
                </c:pt>
              </c:numCache>
            </c:numRef>
          </c:val>
          <c:smooth val="0"/>
          <c:extLst>
            <c:ext xmlns:c16="http://schemas.microsoft.com/office/drawing/2014/chart" uri="{C3380CC4-5D6E-409C-BE32-E72D297353CC}">
              <c16:uniqueId val="{00000001-00CA-48D6-8B2E-6F555D850387}"/>
            </c:ext>
          </c:extLst>
        </c:ser>
        <c:ser>
          <c:idx val="1"/>
          <c:order val="1"/>
          <c:tx>
            <c:strRef>
              <c:f>Hárok1!$C$1</c:f>
              <c:strCache>
                <c:ptCount val="1"/>
                <c:pt idx="0">
                  <c:v>Minimálna mzda</c:v>
                </c:pt>
              </c:strCache>
            </c:strRef>
          </c:tx>
          <c:spPr>
            <a:ln w="28575" cap="rnd">
              <a:solidFill>
                <a:srgbClr val="FF0000"/>
              </a:solidFill>
              <a:round/>
            </a:ln>
            <a:effectLst/>
          </c:spPr>
          <c:marker>
            <c:symbol val="none"/>
          </c:marker>
          <c:dPt>
            <c:idx val="1"/>
            <c:bubble3D val="0"/>
            <c:extLst>
              <c:ext xmlns:c16="http://schemas.microsoft.com/office/drawing/2014/chart" uri="{C3380CC4-5D6E-409C-BE32-E72D297353CC}">
                <c16:uniqueId val="{00000002-00CA-48D6-8B2E-6F555D850387}"/>
              </c:ext>
            </c:extLst>
          </c:dPt>
          <c:dPt>
            <c:idx val="2"/>
            <c:bubble3D val="0"/>
            <c:extLst>
              <c:ext xmlns:c16="http://schemas.microsoft.com/office/drawing/2014/chart" uri="{C3380CC4-5D6E-409C-BE32-E72D297353CC}">
                <c16:uniqueId val="{00000003-00CA-48D6-8B2E-6F555D850387}"/>
              </c:ext>
            </c:extLst>
          </c:dPt>
          <c:dPt>
            <c:idx val="3"/>
            <c:bubble3D val="0"/>
            <c:extLst>
              <c:ext xmlns:c16="http://schemas.microsoft.com/office/drawing/2014/chart" uri="{C3380CC4-5D6E-409C-BE32-E72D297353CC}">
                <c16:uniqueId val="{00000004-00CA-48D6-8B2E-6F555D850387}"/>
              </c:ext>
            </c:extLst>
          </c:dPt>
          <c:dPt>
            <c:idx val="4"/>
            <c:bubble3D val="0"/>
            <c:extLst>
              <c:ext xmlns:c16="http://schemas.microsoft.com/office/drawing/2014/chart" uri="{C3380CC4-5D6E-409C-BE32-E72D297353CC}">
                <c16:uniqueId val="{00000005-00CA-48D6-8B2E-6F555D850387}"/>
              </c:ext>
            </c:extLst>
          </c:dPt>
          <c:dPt>
            <c:idx val="5"/>
            <c:bubble3D val="0"/>
            <c:extLst>
              <c:ext xmlns:c16="http://schemas.microsoft.com/office/drawing/2014/chart" uri="{C3380CC4-5D6E-409C-BE32-E72D297353CC}">
                <c16:uniqueId val="{00000006-00CA-48D6-8B2E-6F555D850387}"/>
              </c:ext>
            </c:extLst>
          </c:dPt>
          <c:dPt>
            <c:idx val="6"/>
            <c:bubble3D val="0"/>
            <c:extLst>
              <c:ext xmlns:c16="http://schemas.microsoft.com/office/drawing/2014/chart" uri="{C3380CC4-5D6E-409C-BE32-E72D297353CC}">
                <c16:uniqueId val="{00000007-00CA-48D6-8B2E-6F555D850387}"/>
              </c:ext>
            </c:extLst>
          </c:dPt>
          <c:dPt>
            <c:idx val="7"/>
            <c:bubble3D val="0"/>
            <c:extLst>
              <c:ext xmlns:c16="http://schemas.microsoft.com/office/drawing/2014/chart" uri="{C3380CC4-5D6E-409C-BE32-E72D297353CC}">
                <c16:uniqueId val="{00000008-00CA-48D6-8B2E-6F555D850387}"/>
              </c:ext>
            </c:extLst>
          </c:dPt>
          <c:dPt>
            <c:idx val="8"/>
            <c:bubble3D val="0"/>
            <c:extLst>
              <c:ext xmlns:c16="http://schemas.microsoft.com/office/drawing/2014/chart" uri="{C3380CC4-5D6E-409C-BE32-E72D297353CC}">
                <c16:uniqueId val="{00000009-00CA-48D6-8B2E-6F555D850387}"/>
              </c:ext>
            </c:extLst>
          </c:dPt>
          <c:dPt>
            <c:idx val="9"/>
            <c:bubble3D val="0"/>
            <c:extLst>
              <c:ext xmlns:c16="http://schemas.microsoft.com/office/drawing/2014/chart" uri="{C3380CC4-5D6E-409C-BE32-E72D297353CC}">
                <c16:uniqueId val="{0000000A-00CA-48D6-8B2E-6F555D850387}"/>
              </c:ext>
            </c:extLst>
          </c:dPt>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sk-SK"/>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Hárok1!$A$2:$A$12</c:f>
              <c:numCache>
                <c:formatCode>General</c:formatCode>
                <c:ptCount val="11"/>
                <c:pt idx="0">
                  <c:v>2008</c:v>
                </c:pt>
                <c:pt idx="1">
                  <c:v>2009</c:v>
                </c:pt>
                <c:pt idx="2">
                  <c:v>2010</c:v>
                </c:pt>
                <c:pt idx="3">
                  <c:v>2011</c:v>
                </c:pt>
                <c:pt idx="4">
                  <c:v>2012</c:v>
                </c:pt>
                <c:pt idx="5">
                  <c:v>2013</c:v>
                </c:pt>
                <c:pt idx="6">
                  <c:v>2014</c:v>
                </c:pt>
                <c:pt idx="7">
                  <c:v>2015</c:v>
                </c:pt>
                <c:pt idx="8">
                  <c:v>2016</c:v>
                </c:pt>
                <c:pt idx="9">
                  <c:v>2017</c:v>
                </c:pt>
              </c:numCache>
            </c:numRef>
          </c:cat>
          <c:val>
            <c:numRef>
              <c:f>Hárok1!$C$2:$C$12</c:f>
              <c:numCache>
                <c:formatCode>General</c:formatCode>
                <c:ptCount val="11"/>
                <c:pt idx="0">
                  <c:v>268.17</c:v>
                </c:pt>
                <c:pt idx="1">
                  <c:v>295.5</c:v>
                </c:pt>
                <c:pt idx="2">
                  <c:v>307.7</c:v>
                </c:pt>
                <c:pt idx="3">
                  <c:v>317</c:v>
                </c:pt>
                <c:pt idx="4">
                  <c:v>327</c:v>
                </c:pt>
                <c:pt idx="5">
                  <c:v>337.7</c:v>
                </c:pt>
                <c:pt idx="6">
                  <c:v>352</c:v>
                </c:pt>
                <c:pt idx="7">
                  <c:v>380</c:v>
                </c:pt>
                <c:pt idx="8">
                  <c:v>405</c:v>
                </c:pt>
                <c:pt idx="9">
                  <c:v>435</c:v>
                </c:pt>
              </c:numCache>
            </c:numRef>
          </c:val>
          <c:smooth val="0"/>
          <c:extLst>
            <c:ext xmlns:c16="http://schemas.microsoft.com/office/drawing/2014/chart" uri="{C3380CC4-5D6E-409C-BE32-E72D297353CC}">
              <c16:uniqueId val="{0000000B-00CA-48D6-8B2E-6F555D850387}"/>
            </c:ext>
          </c:extLst>
        </c:ser>
        <c:dLbls>
          <c:dLblPos val="t"/>
          <c:showLegendKey val="0"/>
          <c:showVal val="1"/>
          <c:showCatName val="0"/>
          <c:showSerName val="0"/>
          <c:showPercent val="0"/>
          <c:showBubbleSize val="0"/>
        </c:dLbls>
        <c:smooth val="0"/>
        <c:axId val="79701120"/>
        <c:axId val="79702656"/>
      </c:lineChart>
      <c:catAx>
        <c:axId val="7970112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sk-SK"/>
          </a:p>
        </c:txPr>
        <c:crossAx val="79702656"/>
        <c:crosses val="autoZero"/>
        <c:auto val="1"/>
        <c:lblAlgn val="ctr"/>
        <c:lblOffset val="100"/>
        <c:noMultiLvlLbl val="0"/>
      </c:catAx>
      <c:valAx>
        <c:axId val="7970265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sk-SK"/>
          </a:p>
        </c:txPr>
        <c:crossAx val="79701120"/>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sk-SK"/>
        </a:p>
      </c:txPr>
    </c:legend>
    <c:plotVisOnly val="1"/>
    <c:dispBlanksAs val="gap"/>
    <c:showDLblsOverMax val="0"/>
  </c:chart>
  <c:spPr>
    <a:solidFill>
      <a:schemeClr val="bg1"/>
    </a:solidFill>
    <a:ln w="9525" cap="flat" cmpd="sng" algn="ctr">
      <a:noFill/>
      <a:round/>
    </a:ln>
    <a:effectLst/>
  </c:spPr>
  <c:txPr>
    <a:bodyPr/>
    <a:lstStyle/>
    <a:p>
      <a:pPr>
        <a:defRPr>
          <a:latin typeface="Times New Roman" panose="02020603050405020304" pitchFamily="18" charset="0"/>
          <a:cs typeface="Times New Roman" panose="02020603050405020304" pitchFamily="18" charset="0"/>
        </a:defRPr>
      </a:pPr>
      <a:endParaRPr lang="sk-SK"/>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Hárok1!$B$1</c:f>
              <c:strCache>
                <c:ptCount val="1"/>
                <c:pt idx="0">
                  <c:v>Rad 1</c:v>
                </c:pt>
              </c:strCache>
            </c:strRef>
          </c:tx>
          <c:spPr>
            <a:solidFill>
              <a:schemeClr val="tx2">
                <a:lumMod val="60000"/>
                <a:lumOff val="4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sk-SK"/>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numRef>
              <c:f>Hárok1!$A$2:$A$11</c:f>
              <c:numCache>
                <c:formatCode>General</c:formatCode>
                <c:ptCount val="10"/>
                <c:pt idx="0">
                  <c:v>2008</c:v>
                </c:pt>
                <c:pt idx="1">
                  <c:v>2009</c:v>
                </c:pt>
                <c:pt idx="2">
                  <c:v>2010</c:v>
                </c:pt>
                <c:pt idx="3">
                  <c:v>2011</c:v>
                </c:pt>
                <c:pt idx="4">
                  <c:v>2012</c:v>
                </c:pt>
                <c:pt idx="5">
                  <c:v>2013</c:v>
                </c:pt>
                <c:pt idx="6">
                  <c:v>2014</c:v>
                </c:pt>
                <c:pt idx="7">
                  <c:v>2015</c:v>
                </c:pt>
                <c:pt idx="8">
                  <c:v>2016</c:v>
                </c:pt>
                <c:pt idx="9">
                  <c:v>2017</c:v>
                </c:pt>
              </c:numCache>
            </c:numRef>
          </c:cat>
          <c:val>
            <c:numRef>
              <c:f>Hárok1!$B$2:$B$11</c:f>
              <c:numCache>
                <c:formatCode>0.00%</c:formatCode>
                <c:ptCount val="10"/>
                <c:pt idx="0">
                  <c:v>0.37069999999999997</c:v>
                </c:pt>
                <c:pt idx="1">
                  <c:v>0.39689999999999998</c:v>
                </c:pt>
                <c:pt idx="2">
                  <c:v>0.40010000000000001</c:v>
                </c:pt>
                <c:pt idx="3">
                  <c:v>0.40329999999999999</c:v>
                </c:pt>
                <c:pt idx="4">
                  <c:v>0.40620000000000001</c:v>
                </c:pt>
                <c:pt idx="5">
                  <c:v>0.4098</c:v>
                </c:pt>
                <c:pt idx="6">
                  <c:v>0.41020000000000001</c:v>
                </c:pt>
                <c:pt idx="7">
                  <c:v>0.43030000000000002</c:v>
                </c:pt>
                <c:pt idx="8">
                  <c:v>0.44400000000000001</c:v>
                </c:pt>
                <c:pt idx="9">
                  <c:v>0.47020000000000001</c:v>
                </c:pt>
              </c:numCache>
            </c:numRef>
          </c:val>
          <c:extLst>
            <c:ext xmlns:c16="http://schemas.microsoft.com/office/drawing/2014/chart" uri="{C3380CC4-5D6E-409C-BE32-E72D297353CC}">
              <c16:uniqueId val="{00000000-F2B3-4448-81D7-7ABD17995234}"/>
            </c:ext>
          </c:extLst>
        </c:ser>
        <c:dLbls>
          <c:dLblPos val="outEnd"/>
          <c:showLegendKey val="0"/>
          <c:showVal val="1"/>
          <c:showCatName val="0"/>
          <c:showSerName val="0"/>
          <c:showPercent val="0"/>
          <c:showBubbleSize val="0"/>
        </c:dLbls>
        <c:gapWidth val="150"/>
        <c:axId val="79743232"/>
        <c:axId val="80376960"/>
      </c:barChart>
      <c:catAx>
        <c:axId val="797432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sk-SK"/>
          </a:p>
        </c:txPr>
        <c:crossAx val="80376960"/>
        <c:crosses val="autoZero"/>
        <c:auto val="1"/>
        <c:lblAlgn val="ctr"/>
        <c:lblOffset val="100"/>
        <c:noMultiLvlLbl val="0"/>
      </c:catAx>
      <c:valAx>
        <c:axId val="80376960"/>
        <c:scaling>
          <c:orientation val="minMax"/>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sk-SK"/>
          </a:p>
        </c:txPr>
        <c:crossAx val="79743232"/>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latin typeface="Times New Roman" panose="02020603050405020304" pitchFamily="18" charset="0"/>
          <a:cs typeface="Times New Roman" panose="02020603050405020304" pitchFamily="18" charset="0"/>
        </a:defRPr>
      </a:pPr>
      <a:endParaRPr lang="sk-SK"/>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233595800524935"/>
          <c:y val="2.1795713035870516E-2"/>
          <c:w val="0.8722010790317879"/>
          <c:h val="0.70470784901887262"/>
        </c:manualLayout>
      </c:layout>
      <c:barChart>
        <c:barDir val="col"/>
        <c:grouping val="clustered"/>
        <c:varyColors val="0"/>
        <c:ser>
          <c:idx val="0"/>
          <c:order val="0"/>
          <c:tx>
            <c:strRef>
              <c:f>Hárok1!$B$1</c:f>
              <c:strCache>
                <c:ptCount val="1"/>
                <c:pt idx="0">
                  <c:v>Gymnázia- denné</c:v>
                </c:pt>
              </c:strCache>
            </c:strRef>
          </c:tx>
          <c:spPr>
            <a:solidFill>
              <a:schemeClr val="tx2">
                <a:lumMod val="60000"/>
                <a:lumOff val="40000"/>
              </a:schemeClr>
            </a:solidFill>
            <a:ln>
              <a:noFill/>
            </a:ln>
            <a:effectLst/>
          </c:spPr>
          <c:invertIfNegative val="0"/>
          <c:cat>
            <c:numRef>
              <c:f>Hárok1!$A$2:$A$10</c:f>
              <c:numCache>
                <c:formatCode>General</c:formatCode>
                <c:ptCount val="9"/>
                <c:pt idx="0">
                  <c:v>2008</c:v>
                </c:pt>
                <c:pt idx="1">
                  <c:v>2009</c:v>
                </c:pt>
                <c:pt idx="2">
                  <c:v>2010</c:v>
                </c:pt>
                <c:pt idx="3">
                  <c:v>2011</c:v>
                </c:pt>
                <c:pt idx="4">
                  <c:v>2012</c:v>
                </c:pt>
                <c:pt idx="5">
                  <c:v>2013</c:v>
                </c:pt>
                <c:pt idx="6">
                  <c:v>2014</c:v>
                </c:pt>
                <c:pt idx="7">
                  <c:v>2015</c:v>
                </c:pt>
                <c:pt idx="8">
                  <c:v>2016</c:v>
                </c:pt>
              </c:numCache>
            </c:numRef>
          </c:cat>
          <c:val>
            <c:numRef>
              <c:f>Hárok1!$B$2:$B$10</c:f>
              <c:numCache>
                <c:formatCode>General</c:formatCode>
                <c:ptCount val="9"/>
                <c:pt idx="0">
                  <c:v>18957</c:v>
                </c:pt>
                <c:pt idx="1">
                  <c:v>19724</c:v>
                </c:pt>
                <c:pt idx="2">
                  <c:v>20231</c:v>
                </c:pt>
                <c:pt idx="3">
                  <c:v>19339</c:v>
                </c:pt>
                <c:pt idx="4">
                  <c:v>19408</c:v>
                </c:pt>
                <c:pt idx="5">
                  <c:v>18631</c:v>
                </c:pt>
                <c:pt idx="6">
                  <c:v>17092</c:v>
                </c:pt>
                <c:pt idx="7">
                  <c:v>16317</c:v>
                </c:pt>
                <c:pt idx="8">
                  <c:v>15532</c:v>
                </c:pt>
              </c:numCache>
            </c:numRef>
          </c:val>
          <c:extLst>
            <c:ext xmlns:c16="http://schemas.microsoft.com/office/drawing/2014/chart" uri="{C3380CC4-5D6E-409C-BE32-E72D297353CC}">
              <c16:uniqueId val="{00000000-9AF9-4B70-B589-02D19184251D}"/>
            </c:ext>
          </c:extLst>
        </c:ser>
        <c:ser>
          <c:idx val="1"/>
          <c:order val="1"/>
          <c:tx>
            <c:strRef>
              <c:f>Hárok1!$C$1</c:f>
              <c:strCache>
                <c:ptCount val="1"/>
                <c:pt idx="0">
                  <c:v>Gymnázia - 8ročné</c:v>
                </c:pt>
              </c:strCache>
            </c:strRef>
          </c:tx>
          <c:spPr>
            <a:solidFill>
              <a:schemeClr val="tx2">
                <a:lumMod val="75000"/>
              </a:schemeClr>
            </a:solidFill>
            <a:ln>
              <a:noFill/>
            </a:ln>
            <a:effectLst/>
          </c:spPr>
          <c:invertIfNegative val="0"/>
          <c:cat>
            <c:numRef>
              <c:f>Hárok1!$A$2:$A$10</c:f>
              <c:numCache>
                <c:formatCode>General</c:formatCode>
                <c:ptCount val="9"/>
                <c:pt idx="0">
                  <c:v>2008</c:v>
                </c:pt>
                <c:pt idx="1">
                  <c:v>2009</c:v>
                </c:pt>
                <c:pt idx="2">
                  <c:v>2010</c:v>
                </c:pt>
                <c:pt idx="3">
                  <c:v>2011</c:v>
                </c:pt>
                <c:pt idx="4">
                  <c:v>2012</c:v>
                </c:pt>
                <c:pt idx="5">
                  <c:v>2013</c:v>
                </c:pt>
                <c:pt idx="6">
                  <c:v>2014</c:v>
                </c:pt>
                <c:pt idx="7">
                  <c:v>2015</c:v>
                </c:pt>
                <c:pt idx="8">
                  <c:v>2016</c:v>
                </c:pt>
              </c:numCache>
            </c:numRef>
          </c:cat>
          <c:val>
            <c:numRef>
              <c:f>Hárok1!$C$2:$C$10</c:f>
              <c:numCache>
                <c:formatCode>General</c:formatCode>
                <c:ptCount val="9"/>
                <c:pt idx="0">
                  <c:v>4935</c:v>
                </c:pt>
                <c:pt idx="1">
                  <c:v>4682</c:v>
                </c:pt>
                <c:pt idx="2">
                  <c:v>4662</c:v>
                </c:pt>
                <c:pt idx="3">
                  <c:v>4363</c:v>
                </c:pt>
                <c:pt idx="4">
                  <c:v>4422</c:v>
                </c:pt>
                <c:pt idx="5">
                  <c:v>4402</c:v>
                </c:pt>
                <c:pt idx="6">
                  <c:v>5392</c:v>
                </c:pt>
                <c:pt idx="7">
                  <c:v>3722</c:v>
                </c:pt>
                <c:pt idx="8">
                  <c:v>3593</c:v>
                </c:pt>
              </c:numCache>
            </c:numRef>
          </c:val>
          <c:extLst>
            <c:ext xmlns:c16="http://schemas.microsoft.com/office/drawing/2014/chart" uri="{C3380CC4-5D6E-409C-BE32-E72D297353CC}">
              <c16:uniqueId val="{00000001-9AF9-4B70-B589-02D19184251D}"/>
            </c:ext>
          </c:extLst>
        </c:ser>
        <c:ser>
          <c:idx val="2"/>
          <c:order val="2"/>
          <c:tx>
            <c:strRef>
              <c:f>Hárok1!$D$1</c:f>
              <c:strCache>
                <c:ptCount val="1"/>
                <c:pt idx="0">
                  <c:v>Stredné odborné školy - denné</c:v>
                </c:pt>
              </c:strCache>
            </c:strRef>
          </c:tx>
          <c:spPr>
            <a:solidFill>
              <a:srgbClr val="FF0000"/>
            </a:solidFill>
            <a:ln>
              <a:noFill/>
            </a:ln>
            <a:effectLst/>
          </c:spPr>
          <c:invertIfNegative val="0"/>
          <c:cat>
            <c:numRef>
              <c:f>Hárok1!$A$2:$A$10</c:f>
              <c:numCache>
                <c:formatCode>General</c:formatCode>
                <c:ptCount val="9"/>
                <c:pt idx="0">
                  <c:v>2008</c:v>
                </c:pt>
                <c:pt idx="1">
                  <c:v>2009</c:v>
                </c:pt>
                <c:pt idx="2">
                  <c:v>2010</c:v>
                </c:pt>
                <c:pt idx="3">
                  <c:v>2011</c:v>
                </c:pt>
                <c:pt idx="4">
                  <c:v>2012</c:v>
                </c:pt>
                <c:pt idx="5">
                  <c:v>2013</c:v>
                </c:pt>
                <c:pt idx="6">
                  <c:v>2014</c:v>
                </c:pt>
                <c:pt idx="7">
                  <c:v>2015</c:v>
                </c:pt>
                <c:pt idx="8">
                  <c:v>2016</c:v>
                </c:pt>
              </c:numCache>
            </c:numRef>
          </c:cat>
          <c:val>
            <c:numRef>
              <c:f>Hárok1!$D$2:$D$10</c:f>
              <c:numCache>
                <c:formatCode>General</c:formatCode>
                <c:ptCount val="9"/>
                <c:pt idx="0">
                  <c:v>50979</c:v>
                </c:pt>
                <c:pt idx="1">
                  <c:v>48368</c:v>
                </c:pt>
                <c:pt idx="2">
                  <c:v>48904</c:v>
                </c:pt>
                <c:pt idx="3">
                  <c:v>47357</c:v>
                </c:pt>
                <c:pt idx="4">
                  <c:v>15304</c:v>
                </c:pt>
                <c:pt idx="5">
                  <c:v>42285</c:v>
                </c:pt>
                <c:pt idx="6">
                  <c:v>37968</c:v>
                </c:pt>
                <c:pt idx="7">
                  <c:v>34693</c:v>
                </c:pt>
                <c:pt idx="8">
                  <c:v>33576</c:v>
                </c:pt>
              </c:numCache>
            </c:numRef>
          </c:val>
          <c:extLst>
            <c:ext xmlns:c16="http://schemas.microsoft.com/office/drawing/2014/chart" uri="{C3380CC4-5D6E-409C-BE32-E72D297353CC}">
              <c16:uniqueId val="{00000002-9AF9-4B70-B589-02D19184251D}"/>
            </c:ext>
          </c:extLst>
        </c:ser>
        <c:ser>
          <c:idx val="3"/>
          <c:order val="3"/>
          <c:tx>
            <c:strRef>
              <c:f>Hárok1!$E$1</c:f>
              <c:strCache>
                <c:ptCount val="1"/>
                <c:pt idx="0">
                  <c:v>Stredné odborné školy - externé</c:v>
                </c:pt>
              </c:strCache>
            </c:strRef>
          </c:tx>
          <c:spPr>
            <a:solidFill>
              <a:schemeClr val="accent2">
                <a:lumMod val="75000"/>
              </a:schemeClr>
            </a:solidFill>
            <a:ln>
              <a:solidFill>
                <a:schemeClr val="tx1">
                  <a:lumMod val="50000"/>
                  <a:lumOff val="50000"/>
                </a:schemeClr>
              </a:solidFill>
            </a:ln>
            <a:effectLst/>
          </c:spPr>
          <c:invertIfNegative val="0"/>
          <c:cat>
            <c:numRef>
              <c:f>Hárok1!$A$2:$A$10</c:f>
              <c:numCache>
                <c:formatCode>General</c:formatCode>
                <c:ptCount val="9"/>
                <c:pt idx="0">
                  <c:v>2008</c:v>
                </c:pt>
                <c:pt idx="1">
                  <c:v>2009</c:v>
                </c:pt>
                <c:pt idx="2">
                  <c:v>2010</c:v>
                </c:pt>
                <c:pt idx="3">
                  <c:v>2011</c:v>
                </c:pt>
                <c:pt idx="4">
                  <c:v>2012</c:v>
                </c:pt>
                <c:pt idx="5">
                  <c:v>2013</c:v>
                </c:pt>
                <c:pt idx="6">
                  <c:v>2014</c:v>
                </c:pt>
                <c:pt idx="7">
                  <c:v>2015</c:v>
                </c:pt>
                <c:pt idx="8">
                  <c:v>2016</c:v>
                </c:pt>
              </c:numCache>
            </c:numRef>
          </c:cat>
          <c:val>
            <c:numRef>
              <c:f>Hárok1!$E$2:$E$10</c:f>
              <c:numCache>
                <c:formatCode>General</c:formatCode>
                <c:ptCount val="9"/>
                <c:pt idx="0">
                  <c:v>3714</c:v>
                </c:pt>
                <c:pt idx="1">
                  <c:v>3864</c:v>
                </c:pt>
                <c:pt idx="2">
                  <c:v>4123</c:v>
                </c:pt>
                <c:pt idx="3">
                  <c:v>4100</c:v>
                </c:pt>
                <c:pt idx="4">
                  <c:v>4413</c:v>
                </c:pt>
                <c:pt idx="5">
                  <c:v>3994</c:v>
                </c:pt>
                <c:pt idx="6">
                  <c:v>3679</c:v>
                </c:pt>
                <c:pt idx="7">
                  <c:v>3247</c:v>
                </c:pt>
                <c:pt idx="8">
                  <c:v>3452</c:v>
                </c:pt>
              </c:numCache>
            </c:numRef>
          </c:val>
          <c:extLst>
            <c:ext xmlns:c16="http://schemas.microsoft.com/office/drawing/2014/chart" uri="{C3380CC4-5D6E-409C-BE32-E72D297353CC}">
              <c16:uniqueId val="{00000003-9AF9-4B70-B589-02D19184251D}"/>
            </c:ext>
          </c:extLst>
        </c:ser>
        <c:dLbls>
          <c:showLegendKey val="0"/>
          <c:showVal val="0"/>
          <c:showCatName val="0"/>
          <c:showSerName val="0"/>
          <c:showPercent val="0"/>
          <c:showBubbleSize val="0"/>
        </c:dLbls>
        <c:gapWidth val="219"/>
        <c:overlap val="-27"/>
        <c:axId val="80408960"/>
        <c:axId val="80410496"/>
      </c:barChart>
      <c:catAx>
        <c:axId val="8040896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sk-SK"/>
          </a:p>
        </c:txPr>
        <c:crossAx val="80410496"/>
        <c:crosses val="autoZero"/>
        <c:auto val="1"/>
        <c:lblAlgn val="ctr"/>
        <c:lblOffset val="100"/>
        <c:noMultiLvlLbl val="0"/>
      </c:catAx>
      <c:valAx>
        <c:axId val="80410496"/>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sk-SK"/>
          </a:p>
        </c:txPr>
        <c:crossAx val="80408960"/>
        <c:crosses val="autoZero"/>
        <c:crossBetween val="between"/>
      </c:valAx>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sk-SK"/>
        </a:p>
      </c:txPr>
    </c:legend>
    <c:plotVisOnly val="1"/>
    <c:dispBlanksAs val="gap"/>
    <c:showDLblsOverMax val="0"/>
  </c:chart>
  <c:spPr>
    <a:solidFill>
      <a:schemeClr val="bg1"/>
    </a:solidFill>
    <a:ln w="9525" cap="flat" cmpd="sng" algn="ctr">
      <a:noFill/>
      <a:round/>
    </a:ln>
    <a:effectLst/>
  </c:spPr>
  <c:txPr>
    <a:bodyPr/>
    <a:lstStyle/>
    <a:p>
      <a:pPr>
        <a:defRPr>
          <a:latin typeface="Times New Roman" panose="02020603050405020304" pitchFamily="18" charset="0"/>
          <a:cs typeface="Times New Roman" panose="02020603050405020304" pitchFamily="18" charset="0"/>
        </a:defRPr>
      </a:pPr>
      <a:endParaRPr lang="sk-SK"/>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bar"/>
        <c:grouping val="clustered"/>
        <c:varyColors val="0"/>
        <c:ser>
          <c:idx val="0"/>
          <c:order val="0"/>
          <c:tx>
            <c:strRef>
              <c:f>Hárok1!$B$1</c:f>
              <c:strCache>
                <c:ptCount val="1"/>
                <c:pt idx="0">
                  <c:v>2015</c:v>
                </c:pt>
              </c:strCache>
            </c:strRef>
          </c:tx>
          <c:spPr>
            <a:solidFill>
              <a:schemeClr val="tx2">
                <a:lumMod val="60000"/>
                <a:lumOff val="40000"/>
              </a:schemeClr>
            </a:solidFill>
            <a:ln>
              <a:noFill/>
            </a:ln>
            <a:effectLst/>
          </c:spPr>
          <c:invertIfNegative val="0"/>
          <c:dPt>
            <c:idx val="3"/>
            <c:invertIfNegative val="0"/>
            <c:bubble3D val="0"/>
            <c:extLst>
              <c:ext xmlns:c16="http://schemas.microsoft.com/office/drawing/2014/chart" uri="{C3380CC4-5D6E-409C-BE32-E72D297353CC}">
                <c16:uniqueId val="{00000000-FDCD-40E2-8503-C761F865C1DC}"/>
              </c:ext>
            </c:extLst>
          </c:dPt>
          <c:cat>
            <c:strRef>
              <c:f>Hárok1!$A$2:$A$8</c:f>
              <c:strCache>
                <c:ptCount val="7"/>
                <c:pt idx="0">
                  <c:v>prírodné vedy</c:v>
                </c:pt>
                <c:pt idx="1">
                  <c:v>poľnohosp.-lesnícke a veterinárne vedy a náuky</c:v>
                </c:pt>
                <c:pt idx="2">
                  <c:v>spoločenské vedy, náuky a služby</c:v>
                </c:pt>
                <c:pt idx="3">
                  <c:v>technické vedy a náuky</c:v>
                </c:pt>
                <c:pt idx="4">
                  <c:v>vedy a náuky o kultúre a umení</c:v>
                </c:pt>
                <c:pt idx="5">
                  <c:v>vojenské a bezpečnostné vedy a náuky</c:v>
                </c:pt>
                <c:pt idx="6">
                  <c:v>zdravotníctvo</c:v>
                </c:pt>
              </c:strCache>
            </c:strRef>
          </c:cat>
          <c:val>
            <c:numRef>
              <c:f>Hárok1!$B$2:$B$8</c:f>
              <c:numCache>
                <c:formatCode>#,##0</c:formatCode>
                <c:ptCount val="7"/>
                <c:pt idx="0">
                  <c:v>2392</c:v>
                </c:pt>
                <c:pt idx="1">
                  <c:v>1816</c:v>
                </c:pt>
                <c:pt idx="2">
                  <c:v>25425</c:v>
                </c:pt>
                <c:pt idx="3">
                  <c:v>9669</c:v>
                </c:pt>
                <c:pt idx="4">
                  <c:v>1239</c:v>
                </c:pt>
                <c:pt idx="5" formatCode="General">
                  <c:v>460</c:v>
                </c:pt>
                <c:pt idx="6">
                  <c:v>2563</c:v>
                </c:pt>
              </c:numCache>
            </c:numRef>
          </c:val>
          <c:extLst>
            <c:ext xmlns:c16="http://schemas.microsoft.com/office/drawing/2014/chart" uri="{C3380CC4-5D6E-409C-BE32-E72D297353CC}">
              <c16:uniqueId val="{00000001-FDCD-40E2-8503-C761F865C1DC}"/>
            </c:ext>
          </c:extLst>
        </c:ser>
        <c:ser>
          <c:idx val="1"/>
          <c:order val="1"/>
          <c:tx>
            <c:strRef>
              <c:f>Hárok1!$C$1</c:f>
              <c:strCache>
                <c:ptCount val="1"/>
                <c:pt idx="0">
                  <c:v>2016</c:v>
                </c:pt>
              </c:strCache>
            </c:strRef>
          </c:tx>
          <c:spPr>
            <a:solidFill>
              <a:srgbClr val="FF0000"/>
            </a:solidFill>
            <a:ln>
              <a:solidFill>
                <a:srgbClr val="FF0000"/>
              </a:solidFill>
            </a:ln>
            <a:effectLst/>
          </c:spPr>
          <c:invertIfNegative val="0"/>
          <c:cat>
            <c:strRef>
              <c:f>Hárok1!$A$2:$A$8</c:f>
              <c:strCache>
                <c:ptCount val="7"/>
                <c:pt idx="0">
                  <c:v>prírodné vedy</c:v>
                </c:pt>
                <c:pt idx="1">
                  <c:v>poľnohosp.-lesnícke a veterinárne vedy a náuky</c:v>
                </c:pt>
                <c:pt idx="2">
                  <c:v>spoločenské vedy, náuky a služby</c:v>
                </c:pt>
                <c:pt idx="3">
                  <c:v>technické vedy a náuky</c:v>
                </c:pt>
                <c:pt idx="4">
                  <c:v>vedy a náuky o kultúre a umení</c:v>
                </c:pt>
                <c:pt idx="5">
                  <c:v>vojenské a bezpečnostné vedy a náuky</c:v>
                </c:pt>
                <c:pt idx="6">
                  <c:v>zdravotníctvo</c:v>
                </c:pt>
              </c:strCache>
            </c:strRef>
          </c:cat>
          <c:val>
            <c:numRef>
              <c:f>Hárok1!$C$2:$C$8</c:f>
              <c:numCache>
                <c:formatCode>#,##0</c:formatCode>
                <c:ptCount val="7"/>
                <c:pt idx="0">
                  <c:v>2196</c:v>
                </c:pt>
                <c:pt idx="1">
                  <c:v>1776</c:v>
                </c:pt>
                <c:pt idx="2">
                  <c:v>23914</c:v>
                </c:pt>
                <c:pt idx="3">
                  <c:v>9153</c:v>
                </c:pt>
                <c:pt idx="4">
                  <c:v>1227</c:v>
                </c:pt>
                <c:pt idx="5" formatCode="General">
                  <c:v>420</c:v>
                </c:pt>
                <c:pt idx="6">
                  <c:v>2554</c:v>
                </c:pt>
              </c:numCache>
            </c:numRef>
          </c:val>
          <c:extLst>
            <c:ext xmlns:c16="http://schemas.microsoft.com/office/drawing/2014/chart" uri="{C3380CC4-5D6E-409C-BE32-E72D297353CC}">
              <c16:uniqueId val="{00000002-FDCD-40E2-8503-C761F865C1DC}"/>
            </c:ext>
          </c:extLst>
        </c:ser>
        <c:dLbls>
          <c:showLegendKey val="0"/>
          <c:showVal val="0"/>
          <c:showCatName val="0"/>
          <c:showSerName val="0"/>
          <c:showPercent val="0"/>
          <c:showBubbleSize val="0"/>
        </c:dLbls>
        <c:gapWidth val="150"/>
        <c:axId val="80313728"/>
        <c:axId val="80319616"/>
      </c:barChart>
      <c:catAx>
        <c:axId val="80313728"/>
        <c:scaling>
          <c:orientation val="minMax"/>
        </c:scaling>
        <c:delete val="0"/>
        <c:axPos val="l"/>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sk-SK"/>
          </a:p>
        </c:txPr>
        <c:crossAx val="80319616"/>
        <c:crosses val="autoZero"/>
        <c:auto val="1"/>
        <c:lblAlgn val="ctr"/>
        <c:lblOffset val="100"/>
        <c:noMultiLvlLbl val="0"/>
      </c:catAx>
      <c:valAx>
        <c:axId val="80319616"/>
        <c:scaling>
          <c:orientation val="minMax"/>
        </c:scaling>
        <c:delete val="0"/>
        <c:axPos val="b"/>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sk-SK"/>
          </a:p>
        </c:txPr>
        <c:crossAx val="80313728"/>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sk-SK"/>
          </a:p>
        </c:txPr>
      </c:dTable>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sk-SK"/>
        </a:p>
      </c:txPr>
    </c:legend>
    <c:plotVisOnly val="1"/>
    <c:dispBlanksAs val="gap"/>
    <c:showDLblsOverMax val="0"/>
  </c:chart>
  <c:spPr>
    <a:solidFill>
      <a:schemeClr val="bg1"/>
    </a:solidFill>
    <a:ln w="9525" cap="flat" cmpd="sng" algn="ctr">
      <a:noFill/>
      <a:round/>
    </a:ln>
    <a:effectLst/>
  </c:spPr>
  <c:txPr>
    <a:bodyPr/>
    <a:lstStyle/>
    <a:p>
      <a:pPr>
        <a:defRPr>
          <a:latin typeface="Times New Roman" panose="02020603050405020304" pitchFamily="18" charset="0"/>
          <a:cs typeface="Times New Roman" panose="02020603050405020304" pitchFamily="18" charset="0"/>
        </a:defRPr>
      </a:pPr>
      <a:endParaRPr lang="sk-SK"/>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sk-SK"/>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75"/>
      <c:rotY val="0"/>
      <c:rAngAx val="0"/>
    </c:view3D>
    <c:floor>
      <c:thickness val="0"/>
    </c:floor>
    <c:sideWall>
      <c:thickness val="0"/>
    </c:sideWall>
    <c:backWall>
      <c:thickness val="0"/>
    </c:backWall>
    <c:plotArea>
      <c:layout>
        <c:manualLayout>
          <c:layoutTarget val="inner"/>
          <c:xMode val="edge"/>
          <c:yMode val="edge"/>
          <c:x val="0.13371346826988242"/>
          <c:y val="0.12112942642887849"/>
          <c:w val="0.55338575690461045"/>
          <c:h val="0.70644030434268268"/>
        </c:manualLayout>
      </c:layout>
      <c:pie3DChart>
        <c:varyColors val="1"/>
        <c:ser>
          <c:idx val="0"/>
          <c:order val="0"/>
          <c:tx>
            <c:strRef>
              <c:f>Hárok1!$B$1</c:f>
              <c:strCache>
                <c:ptCount val="1"/>
                <c:pt idx="0">
                  <c:v>Posudzovanie vybraných vplyvov</c:v>
                </c:pt>
              </c:strCache>
            </c:strRef>
          </c:tx>
          <c:spPr>
            <a:ln>
              <a:solidFill>
                <a:schemeClr val="tx1"/>
              </a:solidFill>
            </a:ln>
          </c:spPr>
          <c:dPt>
            <c:idx val="0"/>
            <c:bubble3D val="0"/>
            <c:spPr>
              <a:solidFill>
                <a:schemeClr val="tx2">
                  <a:lumMod val="60000"/>
                  <a:lumOff val="40000"/>
                </a:schemeClr>
              </a:solidFill>
              <a:ln>
                <a:solidFill>
                  <a:schemeClr val="tx1"/>
                </a:solidFill>
              </a:ln>
            </c:spPr>
            <c:extLst>
              <c:ext xmlns:c16="http://schemas.microsoft.com/office/drawing/2014/chart" uri="{C3380CC4-5D6E-409C-BE32-E72D297353CC}">
                <c16:uniqueId val="{00000001-2B74-4817-835F-917632FE8773}"/>
              </c:ext>
            </c:extLst>
          </c:dPt>
          <c:dPt>
            <c:idx val="1"/>
            <c:bubble3D val="0"/>
            <c:spPr>
              <a:solidFill>
                <a:schemeClr val="tx2">
                  <a:lumMod val="75000"/>
                </a:schemeClr>
              </a:solidFill>
              <a:ln>
                <a:solidFill>
                  <a:schemeClr val="tx1"/>
                </a:solidFill>
              </a:ln>
            </c:spPr>
            <c:extLst>
              <c:ext xmlns:c16="http://schemas.microsoft.com/office/drawing/2014/chart" uri="{C3380CC4-5D6E-409C-BE32-E72D297353CC}">
                <c16:uniqueId val="{00000003-2B74-4817-835F-917632FE8773}"/>
              </c:ext>
            </c:extLst>
          </c:dPt>
          <c:dPt>
            <c:idx val="2"/>
            <c:bubble3D val="0"/>
            <c:spPr>
              <a:solidFill>
                <a:srgbClr val="FF0000"/>
              </a:solidFill>
              <a:ln>
                <a:solidFill>
                  <a:schemeClr val="tx1"/>
                </a:solidFill>
              </a:ln>
            </c:spPr>
            <c:extLst>
              <c:ext xmlns:c16="http://schemas.microsoft.com/office/drawing/2014/chart" uri="{C3380CC4-5D6E-409C-BE32-E72D297353CC}">
                <c16:uniqueId val="{00000005-2B74-4817-835F-917632FE8773}"/>
              </c:ext>
            </c:extLst>
          </c:dPt>
          <c:dLbls>
            <c:dLbl>
              <c:idx val="1"/>
              <c:layout>
                <c:manualLayout>
                  <c:x val="-1.3635170603674541E-2"/>
                  <c:y val="3.0967198618889216E-2"/>
                </c:manualLayout>
              </c:layout>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2B74-4817-835F-917632FE8773}"/>
                </c:ext>
              </c:extLst>
            </c:dLbl>
            <c:dLbl>
              <c:idx val="2"/>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2B74-4817-835F-917632FE8773}"/>
                </c:ext>
              </c:extLst>
            </c:dLbl>
            <c:spPr>
              <a:noFill/>
              <a:ln>
                <a:noFill/>
              </a:ln>
              <a:effectLst/>
            </c:spPr>
            <c:showLegendKey val="0"/>
            <c:showVal val="1"/>
            <c:showCatName val="0"/>
            <c:showSerName val="0"/>
            <c:showPercent val="0"/>
            <c:showBubbleSize val="0"/>
            <c:showLeaderLines val="1"/>
            <c:extLst>
              <c:ext xmlns:c15="http://schemas.microsoft.com/office/drawing/2012/chart" uri="{CE6537A1-D6FC-4f65-9D91-7224C49458BB}">
                <c15:layout/>
              </c:ext>
            </c:extLst>
          </c:dLbls>
          <c:cat>
            <c:strRef>
              <c:f>Hárok1!$A$2:$A$4</c:f>
              <c:strCache>
                <c:ptCount val="3"/>
                <c:pt idx="0">
                  <c:v>Predbežné pripomienkové konanie</c:v>
                </c:pt>
                <c:pt idx="1">
                  <c:v>Záverečné posúdenie</c:v>
                </c:pt>
                <c:pt idx="2">
                  <c:v>Udelenie výnimky</c:v>
                </c:pt>
              </c:strCache>
            </c:strRef>
          </c:cat>
          <c:val>
            <c:numRef>
              <c:f>Hárok1!$B$2:$B$4</c:f>
              <c:numCache>
                <c:formatCode>General</c:formatCode>
                <c:ptCount val="3"/>
                <c:pt idx="0">
                  <c:v>289</c:v>
                </c:pt>
                <c:pt idx="1">
                  <c:v>35</c:v>
                </c:pt>
                <c:pt idx="2">
                  <c:v>2</c:v>
                </c:pt>
              </c:numCache>
            </c:numRef>
          </c:val>
          <c:extLst>
            <c:ext xmlns:c16="http://schemas.microsoft.com/office/drawing/2014/chart" uri="{C3380CC4-5D6E-409C-BE32-E72D297353CC}">
              <c16:uniqueId val="{00000006-2B74-4817-835F-917632FE8773}"/>
            </c:ext>
          </c:extLst>
        </c:ser>
        <c:dLbls>
          <c:showLegendKey val="0"/>
          <c:showVal val="0"/>
          <c:showCatName val="0"/>
          <c:showSerName val="0"/>
          <c:showPercent val="0"/>
          <c:showBubbleSize val="0"/>
          <c:showLeaderLines val="1"/>
        </c:dLbls>
      </c:pie3DChart>
      <c:spPr>
        <a:ln>
          <a:noFill/>
        </a:ln>
      </c:spPr>
    </c:plotArea>
    <c:legend>
      <c:legendPos val="r"/>
      <c:layout>
        <c:manualLayout>
          <c:xMode val="edge"/>
          <c:yMode val="edge"/>
          <c:x val="0.5988599445255679"/>
          <c:y val="0.1504239965607084"/>
          <c:w val="0.26767409120443797"/>
          <c:h val="0.61403473338276837"/>
        </c:manualLayout>
      </c:layout>
      <c:overlay val="0"/>
      <c:spPr>
        <a:ln>
          <a:noFill/>
        </a:ln>
      </c:spPr>
    </c:legend>
    <c:plotVisOnly val="1"/>
    <c:dispBlanksAs val="gap"/>
    <c:showDLblsOverMax val="0"/>
  </c:chart>
  <c:spPr>
    <a:ln w="9525">
      <a:noFill/>
    </a:ln>
  </c:spPr>
  <c:txPr>
    <a:bodyPr/>
    <a:lstStyle/>
    <a:p>
      <a:pPr>
        <a:defRPr>
          <a:latin typeface="Times New Roman" panose="02020603050405020304" pitchFamily="18" charset="0"/>
          <a:cs typeface="Times New Roman" panose="02020603050405020304" pitchFamily="18" charset="0"/>
        </a:defRPr>
      </a:pPr>
      <a:endParaRPr lang="sk-SK"/>
    </a:p>
  </c:txPr>
  <c:externalData r:id="rId1">
    <c:autoUpdate val="0"/>
  </c:externalData>
</c:chartSpace>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f:fields xmlns:f="http://schemas.fabasoft.com/folio/2007/fields">
  <f:record ref="">
    <f:field ref="objname" par="" edit="true" text="Sprava o stave podnikatelskeho prostredia v SR"/>
    <f:field ref="objsubject" par="" edit="true" text=""/>
    <f:field ref="objcreatedby" par="" text="Mikulová, Andrea, Ing."/>
    <f:field ref="objcreatedat" par="" text="23.11.2016 16:20:18"/>
    <f:field ref="objchangedby" par="" text="Mikulová, Andrea, Ing."/>
    <f:field ref="objmodifiedat" par="" text="23.11.2016 16:39:19"/>
    <f:field ref="doc_FSCFOLIO_1_1001_FieldDocumentNumber" par="" text=""/>
    <f:field ref="doc_FSCFOLIO_1_1001_FieldSubject" par="" edit="true" text=""/>
    <f:field ref="FSCFOLIO_1_1001_FieldCurrentUser" par="" text="Ing. Andrea Mikulová"/>
    <f:field ref="CCAPRECONFIG_15_1001_Objektname" par="" edit="true" text="Sprava o stave podnikatelskeho prostredia v SR"/>
  </f:record>
  <f:display par="" text="...">
    <f:field ref="FSCFOLIO_1_1001_FieldCurrentUser" text="Aktuálny používateľ"/>
    <f:field ref="CCAPRECONFIG_15_1001_Objektname" text="Meno"/>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e60a29af-d413-48d4-bd90-fe9d2a897e4b">WKX3UHSAJ2R6-2-842234</_dlc_DocId>
    <_dlc_DocIdUrl xmlns="e60a29af-d413-48d4-bd90-fe9d2a897e4b">
      <Url>https://ovdmasv601/sites/DMS/_layouts/15/DocIdRedir.aspx?ID=WKX3UHSAJ2R6-2-842234</Url>
      <Description>WKX3UHSAJ2R6-2-842234</Description>
    </_dlc_DocIdUrl>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10CF2A24-982A-42F1-9775-E8B5E78C1FAE}">
  <ds:schemaRefs>
    <ds:schemaRef ds:uri="http://schemas.openxmlformats.org/officeDocument/2006/bibliography"/>
  </ds:schemaRefs>
</ds:datastoreItem>
</file>

<file path=customXml/itemProps3.xml><?xml version="1.0" encoding="utf-8"?>
<ds:datastoreItem xmlns:ds="http://schemas.openxmlformats.org/officeDocument/2006/customXml" ds:itemID="{57915F7A-8BFC-4843-8C59-6CAC394F9696}"/>
</file>

<file path=customXml/itemProps4.xml><?xml version="1.0" encoding="utf-8"?>
<ds:datastoreItem xmlns:ds="http://schemas.openxmlformats.org/officeDocument/2006/customXml" ds:itemID="{7C83D725-3086-40F2-9C62-0A58E566DD7C}"/>
</file>

<file path=customXml/itemProps5.xml><?xml version="1.0" encoding="utf-8"?>
<ds:datastoreItem xmlns:ds="http://schemas.openxmlformats.org/officeDocument/2006/customXml" ds:itemID="{B78C6157-F1F1-4273-B644-1BD0D2C04F1B}"/>
</file>

<file path=customXml/itemProps6.xml><?xml version="1.0" encoding="utf-8"?>
<ds:datastoreItem xmlns:ds="http://schemas.openxmlformats.org/officeDocument/2006/customXml" ds:itemID="{D0A0DF80-3BE1-46CC-9333-BE3F613890D9}"/>
</file>

<file path=docProps/app.xml><?xml version="1.0" encoding="utf-8"?>
<Properties xmlns="http://schemas.openxmlformats.org/officeDocument/2006/extended-properties" xmlns:vt="http://schemas.openxmlformats.org/officeDocument/2006/docPropsVTypes">
  <Template>Normal</Template>
  <TotalTime>441</TotalTime>
  <Pages>28</Pages>
  <Words>10684</Words>
  <Characters>60902</Characters>
  <Application>Microsoft Office Word</Application>
  <DocSecurity>0</DocSecurity>
  <Lines>507</Lines>
  <Paragraphs>142</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71444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Mikulova Andrea</dc:creator>
  <cp:lastModifiedBy>Vartík Martina</cp:lastModifiedBy>
  <cp:revision>33</cp:revision>
  <cp:lastPrinted>2018-03-27T14:28:00Z</cp:lastPrinted>
  <dcterms:created xsi:type="dcterms:W3CDTF">2018-03-12T09:43:00Z</dcterms:created>
  <dcterms:modified xsi:type="dcterms:W3CDTF">2018-04-23T08:53:00Z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MH@103.510:zaznam_vnut_adresati_MH_1">
    <vt:lpwstr/>
  </property>
  <property fmtid="{D5CDD505-2E9C-101B-9397-08002B2CF9AE}" pid="3" name="FSC#SKMH@103.510:zaznam_vnut_adresati_MH_2">
    <vt:lpwstr/>
  </property>
  <property fmtid="{D5CDD505-2E9C-101B-9397-08002B2CF9AE}" pid="4" name="FSC#SKMH@103.510:zaznam_vnut_adresati_MH_3">
    <vt:lpwstr/>
  </property>
  <property fmtid="{D5CDD505-2E9C-101B-9397-08002B2CF9AE}" pid="5" name="FSC#SKMH@103.510:zaznam_vnut_adresati_MH_4">
    <vt:lpwstr/>
  </property>
  <property fmtid="{D5CDD505-2E9C-101B-9397-08002B2CF9AE}" pid="6" name="FSC#SKMH@103.510:zaznam_vnut_adresati_MH_5">
    <vt:lpwstr/>
  </property>
  <property fmtid="{D5CDD505-2E9C-101B-9397-08002B2CF9AE}" pid="7" name="FSC#SKMH@103.510:zaznam_vnut_adresati_MH_6">
    <vt:lpwstr/>
  </property>
  <property fmtid="{D5CDD505-2E9C-101B-9397-08002B2CF9AE}" pid="8" name="FSC#SKMH@103.510:zaznam_vnut_adresati_MH_7">
    <vt:lpwstr/>
  </property>
  <property fmtid="{D5CDD505-2E9C-101B-9397-08002B2CF9AE}" pid="9" name="FSC#SKMH@103.510:zaznam_vnut_adresati_MH_8">
    <vt:lpwstr/>
  </property>
  <property fmtid="{D5CDD505-2E9C-101B-9397-08002B2CF9AE}" pid="10" name="FSC#SKMH@103.510:zaznam_vnut_adresati_MH_9">
    <vt:lpwstr/>
  </property>
  <property fmtid="{D5CDD505-2E9C-101B-9397-08002B2CF9AE}" pid="11" name="FSC#SKMH@103.510:zaznam_vnut_adresati_MH_10">
    <vt:lpwstr/>
  </property>
  <property fmtid="{D5CDD505-2E9C-101B-9397-08002B2CF9AE}" pid="12" name="FSC#SKMH@103.510:zaznam_vnut_adresati_MH_11">
    <vt:lpwstr/>
  </property>
  <property fmtid="{D5CDD505-2E9C-101B-9397-08002B2CF9AE}" pid="13" name="FSC#SKMH@103.510:zaznam_vnut_adresati_MH_12">
    <vt:lpwstr/>
  </property>
  <property fmtid="{D5CDD505-2E9C-101B-9397-08002B2CF9AE}" pid="14" name="FSC#SKMH@103.510:zaznam_vnut_adresati_MH_13">
    <vt:lpwstr/>
  </property>
  <property fmtid="{D5CDD505-2E9C-101B-9397-08002B2CF9AE}" pid="15" name="FSC#SKMH@103.510:zaznam_vnut_adresati_MH_14">
    <vt:lpwstr/>
  </property>
  <property fmtid="{D5CDD505-2E9C-101B-9397-08002B2CF9AE}" pid="16" name="FSC#SKMH@103.510:zaznam_vnut_adresati_MH_15">
    <vt:lpwstr/>
  </property>
  <property fmtid="{D5CDD505-2E9C-101B-9397-08002B2CF9AE}" pid="17" name="FSC#SKMH@103.510:zaznam_vnut_adresati_MH_16">
    <vt:lpwstr/>
  </property>
  <property fmtid="{D5CDD505-2E9C-101B-9397-08002B2CF9AE}" pid="18" name="FSC#SKMH@103.510:zaznam_vnut_adresati_MH_17">
    <vt:lpwstr/>
  </property>
  <property fmtid="{D5CDD505-2E9C-101B-9397-08002B2CF9AE}" pid="19" name="FSC#SKMH@103.510:zaznam_vnut_adresati_MH_18">
    <vt:lpwstr/>
  </property>
  <property fmtid="{D5CDD505-2E9C-101B-9397-08002B2CF9AE}" pid="20" name="FSC#SKMH@103.510:zaznam_vnut_adresati_MH_19">
    <vt:lpwstr/>
  </property>
  <property fmtid="{D5CDD505-2E9C-101B-9397-08002B2CF9AE}" pid="21" name="FSC#SKMH@103.510:zaznam_vnut_adresati_MH_20">
    <vt:lpwstr/>
  </property>
  <property fmtid="{D5CDD505-2E9C-101B-9397-08002B2CF9AE}" pid="22" name="FSC#SKMH@103.510:zaznam_vnut_adresati_MH_21">
    <vt:lpwstr/>
  </property>
  <property fmtid="{D5CDD505-2E9C-101B-9397-08002B2CF9AE}" pid="23" name="FSC#SKMH@103.510:zaznam_vnut_adresati_MH_22">
    <vt:lpwstr/>
  </property>
  <property fmtid="{D5CDD505-2E9C-101B-9397-08002B2CF9AE}" pid="24" name="FSC#SKMH@103.510:zaznam_vnut_adresati_MH_23">
    <vt:lpwstr/>
  </property>
  <property fmtid="{D5CDD505-2E9C-101B-9397-08002B2CF9AE}" pid="25" name="FSC#SKMH@103.510:zaznam_vnut_adresati_MH_24">
    <vt:lpwstr/>
  </property>
  <property fmtid="{D5CDD505-2E9C-101B-9397-08002B2CF9AE}" pid="26" name="FSC#SKMH@103.510:zaznam_vnut_adresati_MH_25">
    <vt:lpwstr/>
  </property>
  <property fmtid="{D5CDD505-2E9C-101B-9397-08002B2CF9AE}" pid="27" name="FSC#SKMH@103.510:zaznam_vnut_adresati_MH_26">
    <vt:lpwstr/>
  </property>
  <property fmtid="{D5CDD505-2E9C-101B-9397-08002B2CF9AE}" pid="28" name="FSC#SKMH@103.510:zaznam_vnut_adresati_MH_27">
    <vt:lpwstr/>
  </property>
  <property fmtid="{D5CDD505-2E9C-101B-9397-08002B2CF9AE}" pid="29" name="FSC#SKMH@103.510:zaznam_vnut_adresati_MH_28">
    <vt:lpwstr/>
  </property>
  <property fmtid="{D5CDD505-2E9C-101B-9397-08002B2CF9AE}" pid="30" name="FSC#SKMH@103.510:zaznam_vnut_adresati_MH_29">
    <vt:lpwstr/>
  </property>
  <property fmtid="{D5CDD505-2E9C-101B-9397-08002B2CF9AE}" pid="31" name="FSC#SKMH@103.510:zaznam_vnut_adresati_MH_30">
    <vt:lpwstr/>
  </property>
  <property fmtid="{D5CDD505-2E9C-101B-9397-08002B2CF9AE}" pid="32" name="FSC#SKMH@103.510:zaznam_vnut_adresati_MH_31">
    <vt:lpwstr/>
  </property>
  <property fmtid="{D5CDD505-2E9C-101B-9397-08002B2CF9AE}" pid="33" name="FSC#SKMH@103.510:zaznam_vnut_adresati_MH_32">
    <vt:lpwstr/>
  </property>
  <property fmtid="{D5CDD505-2E9C-101B-9397-08002B2CF9AE}" pid="34" name="FSC#SKMH@103.510:zaznam_vnut_adresati_MH_33">
    <vt:lpwstr/>
  </property>
  <property fmtid="{D5CDD505-2E9C-101B-9397-08002B2CF9AE}" pid="35" name="FSC#SKMH@103.510:zaznam_vnut_adresati_MH_34">
    <vt:lpwstr/>
  </property>
  <property fmtid="{D5CDD505-2E9C-101B-9397-08002B2CF9AE}" pid="36" name="FSC#SKMH@103.510:zaznam_vnut_adresati_MH_35">
    <vt:lpwstr/>
  </property>
  <property fmtid="{D5CDD505-2E9C-101B-9397-08002B2CF9AE}" pid="37" name="FSC#SKMH@103.510:zaznam_vnut_adresati_MH_36">
    <vt:lpwstr/>
  </property>
  <property fmtid="{D5CDD505-2E9C-101B-9397-08002B2CF9AE}" pid="38" name="FSC#SKMH@103.510:zaznam_vnut_adresati_MH_37">
    <vt:lpwstr/>
  </property>
  <property fmtid="{D5CDD505-2E9C-101B-9397-08002B2CF9AE}" pid="39" name="FSC#SKMH@103.510:zaznam_vnut_adresati_MH_38">
    <vt:lpwstr/>
  </property>
  <property fmtid="{D5CDD505-2E9C-101B-9397-08002B2CF9AE}" pid="40" name="FSC#SKMH@103.510:zaznam_vnut_adresati_MH_39">
    <vt:lpwstr/>
  </property>
  <property fmtid="{D5CDD505-2E9C-101B-9397-08002B2CF9AE}" pid="41" name="FSC#SKMH@103.510:zaznam_vnut_adresati_MH_40">
    <vt:lpwstr/>
  </property>
  <property fmtid="{D5CDD505-2E9C-101B-9397-08002B2CF9AE}" pid="42" name="FSC#SKMH@103.510:zaznam_vnut_adresati_rozd_MH">
    <vt:lpwstr/>
  </property>
  <property fmtid="{D5CDD505-2E9C-101B-9397-08002B2CF9AE}" pid="43" name="FSC#SKEDITIONREG@103.510:a_acceptor">
    <vt:lpwstr/>
  </property>
  <property fmtid="{D5CDD505-2E9C-101B-9397-08002B2CF9AE}" pid="44" name="FSC#SKEDITIONREG@103.510:a_clearedat">
    <vt:lpwstr/>
  </property>
  <property fmtid="{D5CDD505-2E9C-101B-9397-08002B2CF9AE}" pid="45" name="FSC#SKEDITIONREG@103.510:a_clearedby">
    <vt:lpwstr/>
  </property>
  <property fmtid="{D5CDD505-2E9C-101B-9397-08002B2CF9AE}" pid="46" name="FSC#SKEDITIONREG@103.510:a_comm">
    <vt:lpwstr/>
  </property>
  <property fmtid="{D5CDD505-2E9C-101B-9397-08002B2CF9AE}" pid="47" name="FSC#SKEDITIONREG@103.510:a_decisionattachments">
    <vt:lpwstr/>
  </property>
  <property fmtid="{D5CDD505-2E9C-101B-9397-08002B2CF9AE}" pid="48" name="FSC#SKEDITIONREG@103.510:a_deliveredat">
    <vt:lpwstr/>
  </property>
  <property fmtid="{D5CDD505-2E9C-101B-9397-08002B2CF9AE}" pid="49" name="FSC#SKEDITIONREG@103.510:a_delivery">
    <vt:lpwstr/>
  </property>
  <property fmtid="{D5CDD505-2E9C-101B-9397-08002B2CF9AE}" pid="50" name="FSC#SKEDITIONREG@103.510:a_extension">
    <vt:lpwstr/>
  </property>
  <property fmtid="{D5CDD505-2E9C-101B-9397-08002B2CF9AE}" pid="51" name="FSC#SKEDITIONREG@103.510:a_filenumber">
    <vt:lpwstr/>
  </property>
  <property fmtid="{D5CDD505-2E9C-101B-9397-08002B2CF9AE}" pid="52" name="FSC#SKEDITIONREG@103.510:a_fileresponsible">
    <vt:lpwstr/>
  </property>
  <property fmtid="{D5CDD505-2E9C-101B-9397-08002B2CF9AE}" pid="53" name="FSC#SKEDITIONREG@103.510:a_fileresporg">
    <vt:lpwstr/>
  </property>
  <property fmtid="{D5CDD505-2E9C-101B-9397-08002B2CF9AE}" pid="54" name="FSC#SKEDITIONREG@103.510:a_fileresporg_email_OU">
    <vt:lpwstr/>
  </property>
  <property fmtid="{D5CDD505-2E9C-101B-9397-08002B2CF9AE}" pid="55" name="FSC#SKEDITIONREG@103.510:a_fileresporg_emailaddress">
    <vt:lpwstr/>
  </property>
  <property fmtid="{D5CDD505-2E9C-101B-9397-08002B2CF9AE}" pid="56" name="FSC#SKEDITIONREG@103.510:a_fileresporg_fax">
    <vt:lpwstr/>
  </property>
  <property fmtid="{D5CDD505-2E9C-101B-9397-08002B2CF9AE}" pid="57" name="FSC#SKEDITIONREG@103.510:a_fileresporg_fax_OU">
    <vt:lpwstr/>
  </property>
  <property fmtid="{D5CDD505-2E9C-101B-9397-08002B2CF9AE}" pid="58" name="FSC#SKEDITIONREG@103.510:a_fileresporg_function">
    <vt:lpwstr/>
  </property>
  <property fmtid="{D5CDD505-2E9C-101B-9397-08002B2CF9AE}" pid="59" name="FSC#SKEDITIONREG@103.510:a_fileresporg_function_OU">
    <vt:lpwstr/>
  </property>
  <property fmtid="{D5CDD505-2E9C-101B-9397-08002B2CF9AE}" pid="60" name="FSC#SKEDITIONREG@103.510:a_fileresporg_head">
    <vt:lpwstr/>
  </property>
  <property fmtid="{D5CDD505-2E9C-101B-9397-08002B2CF9AE}" pid="61" name="FSC#SKEDITIONREG@103.510:a_fileresporg_head_OU">
    <vt:lpwstr/>
  </property>
  <property fmtid="{D5CDD505-2E9C-101B-9397-08002B2CF9AE}" pid="62" name="FSC#SKEDITIONREG@103.510:a_fileresporg_OU">
    <vt:lpwstr/>
  </property>
  <property fmtid="{D5CDD505-2E9C-101B-9397-08002B2CF9AE}" pid="63" name="FSC#SKEDITIONREG@103.510:a_fileresporg_phone">
    <vt:lpwstr/>
  </property>
  <property fmtid="{D5CDD505-2E9C-101B-9397-08002B2CF9AE}" pid="64" name="FSC#SKEDITIONREG@103.510:a_fileresporg_phone_OU">
    <vt:lpwstr/>
  </property>
  <property fmtid="{D5CDD505-2E9C-101B-9397-08002B2CF9AE}" pid="65" name="FSC#SKEDITIONREG@103.510:a_incattachments">
    <vt:lpwstr/>
  </property>
  <property fmtid="{D5CDD505-2E9C-101B-9397-08002B2CF9AE}" pid="66" name="FSC#SKEDITIONREG@103.510:a_incnr">
    <vt:lpwstr/>
  </property>
  <property fmtid="{D5CDD505-2E9C-101B-9397-08002B2CF9AE}" pid="67" name="FSC#SKEDITIONREG@103.510:a_objcreatedstr">
    <vt:lpwstr/>
  </property>
  <property fmtid="{D5CDD505-2E9C-101B-9397-08002B2CF9AE}" pid="68" name="FSC#SKEDITIONREG@103.510:a_ordernumber">
    <vt:lpwstr/>
  </property>
  <property fmtid="{D5CDD505-2E9C-101B-9397-08002B2CF9AE}" pid="69" name="FSC#SKEDITIONREG@103.510:a_oursign">
    <vt:lpwstr/>
  </property>
  <property fmtid="{D5CDD505-2E9C-101B-9397-08002B2CF9AE}" pid="70" name="FSC#SKEDITIONREG@103.510:a_sendersign">
    <vt:lpwstr/>
  </property>
  <property fmtid="{D5CDD505-2E9C-101B-9397-08002B2CF9AE}" pid="71" name="FSC#SKEDITIONREG@103.510:a_shortou">
    <vt:lpwstr/>
  </property>
  <property fmtid="{D5CDD505-2E9C-101B-9397-08002B2CF9AE}" pid="72" name="FSC#SKEDITIONREG@103.510:a_testsalutation">
    <vt:lpwstr/>
  </property>
  <property fmtid="{D5CDD505-2E9C-101B-9397-08002B2CF9AE}" pid="73" name="FSC#SKEDITIONREG@103.510:a_validfrom">
    <vt:lpwstr/>
  </property>
  <property fmtid="{D5CDD505-2E9C-101B-9397-08002B2CF9AE}" pid="74" name="FSC#SKEDITIONREG@103.510:as_activity">
    <vt:lpwstr/>
  </property>
  <property fmtid="{D5CDD505-2E9C-101B-9397-08002B2CF9AE}" pid="75" name="FSC#SKEDITIONREG@103.510:as_docdate">
    <vt:lpwstr/>
  </property>
  <property fmtid="{D5CDD505-2E9C-101B-9397-08002B2CF9AE}" pid="76" name="FSC#SKEDITIONREG@103.510:as_establishdate">
    <vt:lpwstr/>
  </property>
  <property fmtid="{D5CDD505-2E9C-101B-9397-08002B2CF9AE}" pid="77" name="FSC#SKEDITIONREG@103.510:as_fileresphead">
    <vt:lpwstr/>
  </property>
  <property fmtid="{D5CDD505-2E9C-101B-9397-08002B2CF9AE}" pid="78" name="FSC#SKEDITIONREG@103.510:as_filerespheadfnct">
    <vt:lpwstr/>
  </property>
  <property fmtid="{D5CDD505-2E9C-101B-9397-08002B2CF9AE}" pid="79" name="FSC#SKEDITIONREG@103.510:as_fileresponsible">
    <vt:lpwstr/>
  </property>
  <property fmtid="{D5CDD505-2E9C-101B-9397-08002B2CF9AE}" pid="80" name="FSC#SKEDITIONREG@103.510:as_filesubj">
    <vt:lpwstr/>
  </property>
  <property fmtid="{D5CDD505-2E9C-101B-9397-08002B2CF9AE}" pid="81" name="FSC#SKEDITIONREG@103.510:as_objname">
    <vt:lpwstr/>
  </property>
  <property fmtid="{D5CDD505-2E9C-101B-9397-08002B2CF9AE}" pid="82" name="FSC#SKEDITIONREG@103.510:as_ou">
    <vt:lpwstr/>
  </property>
  <property fmtid="{D5CDD505-2E9C-101B-9397-08002B2CF9AE}" pid="83" name="FSC#SKEDITIONREG@103.510:as_owner">
    <vt:lpwstr>Ing. Andrea Mikulová</vt:lpwstr>
  </property>
  <property fmtid="{D5CDD505-2E9C-101B-9397-08002B2CF9AE}" pid="84" name="FSC#SKEDITIONREG@103.510:as_phonelink">
    <vt:lpwstr/>
  </property>
  <property fmtid="{D5CDD505-2E9C-101B-9397-08002B2CF9AE}" pid="85" name="FSC#SKEDITIONREG@103.510:oz_externAdr">
    <vt:lpwstr/>
  </property>
  <property fmtid="{D5CDD505-2E9C-101B-9397-08002B2CF9AE}" pid="86" name="FSC#SKEDITIONREG@103.510:a_depositperiod">
    <vt:lpwstr/>
  </property>
  <property fmtid="{D5CDD505-2E9C-101B-9397-08002B2CF9AE}" pid="87" name="FSC#SKEDITIONREG@103.510:a_disposestate">
    <vt:lpwstr/>
  </property>
  <property fmtid="{D5CDD505-2E9C-101B-9397-08002B2CF9AE}" pid="88" name="FSC#SKEDITIONREG@103.510:a_fileresponsiblefnct">
    <vt:lpwstr/>
  </property>
  <property fmtid="{D5CDD505-2E9C-101B-9397-08002B2CF9AE}" pid="89" name="FSC#SKEDITIONREG@103.510:a_fileresporg_position">
    <vt:lpwstr/>
  </property>
  <property fmtid="{D5CDD505-2E9C-101B-9397-08002B2CF9AE}" pid="90" name="FSC#SKEDITIONREG@103.510:a_fileresporg_position_OU">
    <vt:lpwstr/>
  </property>
  <property fmtid="{D5CDD505-2E9C-101B-9397-08002B2CF9AE}" pid="91" name="FSC#SKEDITIONREG@103.510:a_osobnecislosprac">
    <vt:lpwstr/>
  </property>
  <property fmtid="{D5CDD505-2E9C-101B-9397-08002B2CF9AE}" pid="92" name="FSC#SKEDITIONREG@103.510:a_registrysign">
    <vt:lpwstr/>
  </property>
  <property fmtid="{D5CDD505-2E9C-101B-9397-08002B2CF9AE}" pid="93" name="FSC#SKEDITIONREG@103.510:a_subfileatt">
    <vt:lpwstr/>
  </property>
  <property fmtid="{D5CDD505-2E9C-101B-9397-08002B2CF9AE}" pid="94" name="FSC#SKEDITIONREG@103.510:as_filesubjall">
    <vt:lpwstr/>
  </property>
  <property fmtid="{D5CDD505-2E9C-101B-9397-08002B2CF9AE}" pid="95" name="FSC#SKEDITIONREG@103.510:CreatedAt">
    <vt:lpwstr>23. 11. 2016, 16:20</vt:lpwstr>
  </property>
  <property fmtid="{D5CDD505-2E9C-101B-9397-08002B2CF9AE}" pid="96" name="FSC#SKEDITIONREG@103.510:curruserrolegroup">
    <vt:lpwstr>Odbor podnikateľského prostredia</vt:lpwstr>
  </property>
  <property fmtid="{D5CDD505-2E9C-101B-9397-08002B2CF9AE}" pid="97" name="FSC#SKEDITIONREG@103.510:currusersubst">
    <vt:lpwstr/>
  </property>
  <property fmtid="{D5CDD505-2E9C-101B-9397-08002B2CF9AE}" pid="98" name="FSC#SKEDITIONREG@103.510:emailsprac">
    <vt:lpwstr/>
  </property>
  <property fmtid="{D5CDD505-2E9C-101B-9397-08002B2CF9AE}" pid="99" name="FSC#SKEDITIONREG@103.510:ms_VyskladaniePoznamok">
    <vt:lpwstr/>
  </property>
  <property fmtid="{D5CDD505-2E9C-101B-9397-08002B2CF9AE}" pid="100" name="FSC#SKEDITIONREG@103.510:oumlname_fnct">
    <vt:lpwstr/>
  </property>
  <property fmtid="{D5CDD505-2E9C-101B-9397-08002B2CF9AE}" pid="101" name="FSC#SKEDITIONREG@103.510:sk_org_city">
    <vt:lpwstr/>
  </property>
  <property fmtid="{D5CDD505-2E9C-101B-9397-08002B2CF9AE}" pid="102" name="FSC#SKEDITIONREG@103.510:sk_org_dic">
    <vt:lpwstr/>
  </property>
  <property fmtid="{D5CDD505-2E9C-101B-9397-08002B2CF9AE}" pid="103" name="FSC#SKEDITIONREG@103.510:sk_org_email">
    <vt:lpwstr/>
  </property>
  <property fmtid="{D5CDD505-2E9C-101B-9397-08002B2CF9AE}" pid="104" name="FSC#SKEDITIONREG@103.510:sk_org_fax">
    <vt:lpwstr/>
  </property>
  <property fmtid="{D5CDD505-2E9C-101B-9397-08002B2CF9AE}" pid="105" name="FSC#SKEDITIONREG@103.510:sk_org_fullname">
    <vt:lpwstr/>
  </property>
  <property fmtid="{D5CDD505-2E9C-101B-9397-08002B2CF9AE}" pid="106" name="FSC#SKEDITIONREG@103.510:sk_org_ico">
    <vt:lpwstr/>
  </property>
  <property fmtid="{D5CDD505-2E9C-101B-9397-08002B2CF9AE}" pid="107" name="FSC#SKEDITIONREG@103.510:sk_org_phone">
    <vt:lpwstr/>
  </property>
  <property fmtid="{D5CDD505-2E9C-101B-9397-08002B2CF9AE}" pid="108" name="FSC#SKEDITIONREG@103.510:sk_org_shortname">
    <vt:lpwstr/>
  </property>
  <property fmtid="{D5CDD505-2E9C-101B-9397-08002B2CF9AE}" pid="109" name="FSC#SKEDITIONREG@103.510:sk_org_state">
    <vt:lpwstr/>
  </property>
  <property fmtid="{D5CDD505-2E9C-101B-9397-08002B2CF9AE}" pid="110" name="FSC#SKEDITIONREG@103.510:sk_org_street">
    <vt:lpwstr/>
  </property>
  <property fmtid="{D5CDD505-2E9C-101B-9397-08002B2CF9AE}" pid="111" name="FSC#SKEDITIONREG@103.510:sk_org_zip">
    <vt:lpwstr/>
  </property>
  <property fmtid="{D5CDD505-2E9C-101B-9397-08002B2CF9AE}" pid="112" name="FSC#SKEDITIONREG@103.510:viz_clearedat">
    <vt:lpwstr/>
  </property>
  <property fmtid="{D5CDD505-2E9C-101B-9397-08002B2CF9AE}" pid="113" name="FSC#SKEDITIONREG@103.510:viz_clearedby">
    <vt:lpwstr/>
  </property>
  <property fmtid="{D5CDD505-2E9C-101B-9397-08002B2CF9AE}" pid="114" name="FSC#SKEDITIONREG@103.510:viz_comm">
    <vt:lpwstr/>
  </property>
  <property fmtid="{D5CDD505-2E9C-101B-9397-08002B2CF9AE}" pid="115" name="FSC#SKEDITIONREG@103.510:viz_decisionattachments">
    <vt:lpwstr/>
  </property>
  <property fmtid="{D5CDD505-2E9C-101B-9397-08002B2CF9AE}" pid="116" name="FSC#SKEDITIONREG@103.510:viz_deliveredat">
    <vt:lpwstr/>
  </property>
  <property fmtid="{D5CDD505-2E9C-101B-9397-08002B2CF9AE}" pid="117" name="FSC#SKEDITIONREG@103.510:viz_delivery">
    <vt:lpwstr/>
  </property>
  <property fmtid="{D5CDD505-2E9C-101B-9397-08002B2CF9AE}" pid="118" name="FSC#SKEDITIONREG@103.510:viz_extension">
    <vt:lpwstr/>
  </property>
  <property fmtid="{D5CDD505-2E9C-101B-9397-08002B2CF9AE}" pid="119" name="FSC#SKEDITIONREG@103.510:viz_filenumber">
    <vt:lpwstr/>
  </property>
  <property fmtid="{D5CDD505-2E9C-101B-9397-08002B2CF9AE}" pid="120" name="FSC#SKEDITIONREG@103.510:viz_fileresponsible">
    <vt:lpwstr/>
  </property>
  <property fmtid="{D5CDD505-2E9C-101B-9397-08002B2CF9AE}" pid="121" name="FSC#SKEDITIONREG@103.510:viz_fileresporg">
    <vt:lpwstr/>
  </property>
  <property fmtid="{D5CDD505-2E9C-101B-9397-08002B2CF9AE}" pid="122" name="FSC#SKEDITIONREG@103.510:viz_fileresporg_email_OU">
    <vt:lpwstr/>
  </property>
  <property fmtid="{D5CDD505-2E9C-101B-9397-08002B2CF9AE}" pid="123" name="FSC#SKEDITIONREG@103.510:viz_fileresporg_emailaddress">
    <vt:lpwstr/>
  </property>
  <property fmtid="{D5CDD505-2E9C-101B-9397-08002B2CF9AE}" pid="124" name="FSC#SKEDITIONREG@103.510:viz_fileresporg_fax">
    <vt:lpwstr/>
  </property>
  <property fmtid="{D5CDD505-2E9C-101B-9397-08002B2CF9AE}" pid="125" name="FSC#SKEDITIONREG@103.510:viz_fileresporg_fax_OU">
    <vt:lpwstr/>
  </property>
  <property fmtid="{D5CDD505-2E9C-101B-9397-08002B2CF9AE}" pid="126" name="FSC#SKEDITIONREG@103.510:viz_fileresporg_function">
    <vt:lpwstr/>
  </property>
  <property fmtid="{D5CDD505-2E9C-101B-9397-08002B2CF9AE}" pid="127" name="FSC#SKEDITIONREG@103.510:viz_fileresporg_function_OU">
    <vt:lpwstr/>
  </property>
  <property fmtid="{D5CDD505-2E9C-101B-9397-08002B2CF9AE}" pid="128" name="FSC#SKEDITIONREG@103.510:viz_fileresporg_head">
    <vt:lpwstr/>
  </property>
  <property fmtid="{D5CDD505-2E9C-101B-9397-08002B2CF9AE}" pid="129" name="FSC#SKEDITIONREG@103.510:viz_fileresporg_head_OU">
    <vt:lpwstr/>
  </property>
  <property fmtid="{D5CDD505-2E9C-101B-9397-08002B2CF9AE}" pid="130" name="FSC#SKEDITIONREG@103.510:viz_fileresporg_longname">
    <vt:lpwstr/>
  </property>
  <property fmtid="{D5CDD505-2E9C-101B-9397-08002B2CF9AE}" pid="131" name="FSC#SKEDITIONREG@103.510:viz_fileresporg_mesto">
    <vt:lpwstr/>
  </property>
  <property fmtid="{D5CDD505-2E9C-101B-9397-08002B2CF9AE}" pid="132" name="FSC#SKEDITIONREG@103.510:viz_fileresporg_odbor">
    <vt:lpwstr/>
  </property>
  <property fmtid="{D5CDD505-2E9C-101B-9397-08002B2CF9AE}" pid="133" name="FSC#SKEDITIONREG@103.510:viz_fileresporg_odbor_function">
    <vt:lpwstr/>
  </property>
  <property fmtid="{D5CDD505-2E9C-101B-9397-08002B2CF9AE}" pid="134" name="FSC#SKEDITIONREG@103.510:viz_fileresporg_odbor_head">
    <vt:lpwstr/>
  </property>
  <property fmtid="{D5CDD505-2E9C-101B-9397-08002B2CF9AE}" pid="135" name="FSC#SKEDITIONREG@103.510:viz_fileresporg_OU">
    <vt:lpwstr/>
  </property>
  <property fmtid="{D5CDD505-2E9C-101B-9397-08002B2CF9AE}" pid="136" name="FSC#SKEDITIONREG@103.510:viz_fileresporg_phone">
    <vt:lpwstr/>
  </property>
  <property fmtid="{D5CDD505-2E9C-101B-9397-08002B2CF9AE}" pid="137" name="FSC#SKEDITIONREG@103.510:viz_fileresporg_phone_OU">
    <vt:lpwstr/>
  </property>
  <property fmtid="{D5CDD505-2E9C-101B-9397-08002B2CF9AE}" pid="138" name="FSC#SKEDITIONREG@103.510:viz_fileresporg_position">
    <vt:lpwstr/>
  </property>
  <property fmtid="{D5CDD505-2E9C-101B-9397-08002B2CF9AE}" pid="139" name="FSC#SKEDITIONREG@103.510:viz_fileresporg_position_OU">
    <vt:lpwstr/>
  </property>
  <property fmtid="{D5CDD505-2E9C-101B-9397-08002B2CF9AE}" pid="140" name="FSC#SKEDITIONREG@103.510:viz_fileresporg_psc">
    <vt:lpwstr/>
  </property>
  <property fmtid="{D5CDD505-2E9C-101B-9397-08002B2CF9AE}" pid="141" name="FSC#SKEDITIONREG@103.510:viz_fileresporg_sekcia">
    <vt:lpwstr/>
  </property>
  <property fmtid="{D5CDD505-2E9C-101B-9397-08002B2CF9AE}" pid="142" name="FSC#SKEDITIONREG@103.510:viz_fileresporg_sekcia_function">
    <vt:lpwstr/>
  </property>
  <property fmtid="{D5CDD505-2E9C-101B-9397-08002B2CF9AE}" pid="143" name="FSC#SKEDITIONREG@103.510:viz_fileresporg_sekcia_head">
    <vt:lpwstr/>
  </property>
  <property fmtid="{D5CDD505-2E9C-101B-9397-08002B2CF9AE}" pid="144" name="FSC#SKEDITIONREG@103.510:viz_fileresporg_stat">
    <vt:lpwstr/>
  </property>
  <property fmtid="{D5CDD505-2E9C-101B-9397-08002B2CF9AE}" pid="145" name="FSC#SKEDITIONREG@103.510:viz_fileresporg_ulica">
    <vt:lpwstr/>
  </property>
  <property fmtid="{D5CDD505-2E9C-101B-9397-08002B2CF9AE}" pid="146" name="FSC#SKEDITIONREG@103.510:viz_fileresporgknazov">
    <vt:lpwstr/>
  </property>
  <property fmtid="{D5CDD505-2E9C-101B-9397-08002B2CF9AE}" pid="147" name="FSC#SKEDITIONREG@103.510:viz_filesubj">
    <vt:lpwstr/>
  </property>
  <property fmtid="{D5CDD505-2E9C-101B-9397-08002B2CF9AE}" pid="148" name="FSC#SKEDITIONREG@103.510:viz_incattachments">
    <vt:lpwstr/>
  </property>
  <property fmtid="{D5CDD505-2E9C-101B-9397-08002B2CF9AE}" pid="149" name="FSC#SKEDITIONREG@103.510:viz_incnr">
    <vt:lpwstr/>
  </property>
  <property fmtid="{D5CDD505-2E9C-101B-9397-08002B2CF9AE}" pid="150" name="FSC#SKEDITIONREG@103.510:viz_intletterrecivers">
    <vt:lpwstr/>
  </property>
  <property fmtid="{D5CDD505-2E9C-101B-9397-08002B2CF9AE}" pid="151" name="FSC#SKEDITIONREG@103.510:viz_objcreatedstr">
    <vt:lpwstr/>
  </property>
  <property fmtid="{D5CDD505-2E9C-101B-9397-08002B2CF9AE}" pid="152" name="FSC#SKEDITIONREG@103.510:viz_ordernumber">
    <vt:lpwstr/>
  </property>
  <property fmtid="{D5CDD505-2E9C-101B-9397-08002B2CF9AE}" pid="153" name="FSC#SKEDITIONREG@103.510:viz_oursign">
    <vt:lpwstr/>
  </property>
  <property fmtid="{D5CDD505-2E9C-101B-9397-08002B2CF9AE}" pid="154" name="FSC#SKEDITIONREG@103.510:viz_responseto_createdby">
    <vt:lpwstr/>
  </property>
  <property fmtid="{D5CDD505-2E9C-101B-9397-08002B2CF9AE}" pid="155" name="FSC#SKEDITIONREG@103.510:viz_sendersign">
    <vt:lpwstr/>
  </property>
  <property fmtid="{D5CDD505-2E9C-101B-9397-08002B2CF9AE}" pid="156" name="FSC#SKEDITIONREG@103.510:viz_shortfileresporg">
    <vt:lpwstr/>
  </property>
  <property fmtid="{D5CDD505-2E9C-101B-9397-08002B2CF9AE}" pid="157" name="FSC#SKEDITIONREG@103.510:viz_tel_number">
    <vt:lpwstr/>
  </property>
  <property fmtid="{D5CDD505-2E9C-101B-9397-08002B2CF9AE}" pid="158" name="FSC#SKEDITIONREG@103.510:viz_testsalutation">
    <vt:lpwstr/>
  </property>
  <property fmtid="{D5CDD505-2E9C-101B-9397-08002B2CF9AE}" pid="159" name="FSC#SKEDITIONREG@103.510:viz_validfrom">
    <vt:lpwstr/>
  </property>
  <property fmtid="{D5CDD505-2E9C-101B-9397-08002B2CF9AE}" pid="160" name="FSC#SKEDITIONREG@103.510:zaznam_jeden_adresat">
    <vt:lpwstr/>
  </property>
  <property fmtid="{D5CDD505-2E9C-101B-9397-08002B2CF9AE}" pid="161" name="FSC#SKEDITIONREG@103.510:zaznam_vnut_adresati_1">
    <vt:lpwstr/>
  </property>
  <property fmtid="{D5CDD505-2E9C-101B-9397-08002B2CF9AE}" pid="162" name="FSC#SKEDITIONREG@103.510:zaznam_vnut_adresati_10">
    <vt:lpwstr/>
  </property>
  <property fmtid="{D5CDD505-2E9C-101B-9397-08002B2CF9AE}" pid="163" name="FSC#SKEDITIONREG@103.510:zaznam_vnut_adresati_11">
    <vt:lpwstr/>
  </property>
  <property fmtid="{D5CDD505-2E9C-101B-9397-08002B2CF9AE}" pid="164" name="FSC#SKEDITIONREG@103.510:zaznam_vnut_adresati_12">
    <vt:lpwstr/>
  </property>
  <property fmtid="{D5CDD505-2E9C-101B-9397-08002B2CF9AE}" pid="165" name="FSC#SKEDITIONREG@103.510:zaznam_vnut_adresati_13">
    <vt:lpwstr/>
  </property>
  <property fmtid="{D5CDD505-2E9C-101B-9397-08002B2CF9AE}" pid="166" name="FSC#SKEDITIONREG@103.510:zaznam_vnut_adresati_14">
    <vt:lpwstr/>
  </property>
  <property fmtid="{D5CDD505-2E9C-101B-9397-08002B2CF9AE}" pid="167" name="FSC#SKEDITIONREG@103.510:zaznam_vnut_adresati_15">
    <vt:lpwstr/>
  </property>
  <property fmtid="{D5CDD505-2E9C-101B-9397-08002B2CF9AE}" pid="168" name="FSC#SKEDITIONREG@103.510:zaznam_vnut_adresati_16">
    <vt:lpwstr/>
  </property>
  <property fmtid="{D5CDD505-2E9C-101B-9397-08002B2CF9AE}" pid="169" name="FSC#SKEDITIONREG@103.510:zaznam_vnut_adresati_17">
    <vt:lpwstr/>
  </property>
  <property fmtid="{D5CDD505-2E9C-101B-9397-08002B2CF9AE}" pid="170" name="FSC#SKEDITIONREG@103.510:zaznam_vnut_adresati_18">
    <vt:lpwstr/>
  </property>
  <property fmtid="{D5CDD505-2E9C-101B-9397-08002B2CF9AE}" pid="171" name="FSC#SKEDITIONREG@103.510:zaznam_vnut_adresati_19">
    <vt:lpwstr/>
  </property>
  <property fmtid="{D5CDD505-2E9C-101B-9397-08002B2CF9AE}" pid="172" name="FSC#SKEDITIONREG@103.510:zaznam_vnut_adresati_2">
    <vt:lpwstr/>
  </property>
  <property fmtid="{D5CDD505-2E9C-101B-9397-08002B2CF9AE}" pid="173" name="FSC#SKEDITIONREG@103.510:zaznam_vnut_adresati_20">
    <vt:lpwstr/>
  </property>
  <property fmtid="{D5CDD505-2E9C-101B-9397-08002B2CF9AE}" pid="174" name="FSC#SKEDITIONREG@103.510:zaznam_vnut_adresati_21">
    <vt:lpwstr/>
  </property>
  <property fmtid="{D5CDD505-2E9C-101B-9397-08002B2CF9AE}" pid="175" name="FSC#SKEDITIONREG@103.510:zaznam_vnut_adresati_22">
    <vt:lpwstr/>
  </property>
  <property fmtid="{D5CDD505-2E9C-101B-9397-08002B2CF9AE}" pid="176" name="FSC#SKEDITIONREG@103.510:zaznam_vnut_adresati_23">
    <vt:lpwstr/>
  </property>
  <property fmtid="{D5CDD505-2E9C-101B-9397-08002B2CF9AE}" pid="177" name="FSC#SKEDITIONREG@103.510:zaznam_vnut_adresati_24">
    <vt:lpwstr/>
  </property>
  <property fmtid="{D5CDD505-2E9C-101B-9397-08002B2CF9AE}" pid="178" name="FSC#SKEDITIONREG@103.510:zaznam_vnut_adresati_25">
    <vt:lpwstr/>
  </property>
  <property fmtid="{D5CDD505-2E9C-101B-9397-08002B2CF9AE}" pid="179" name="FSC#SKEDITIONREG@103.510:zaznam_vnut_adresati_26">
    <vt:lpwstr/>
  </property>
  <property fmtid="{D5CDD505-2E9C-101B-9397-08002B2CF9AE}" pid="180" name="FSC#SKEDITIONREG@103.510:zaznam_vnut_adresati_27">
    <vt:lpwstr/>
  </property>
  <property fmtid="{D5CDD505-2E9C-101B-9397-08002B2CF9AE}" pid="181" name="FSC#SKEDITIONREG@103.510:zaznam_vnut_adresati_28">
    <vt:lpwstr/>
  </property>
  <property fmtid="{D5CDD505-2E9C-101B-9397-08002B2CF9AE}" pid="182" name="FSC#SKEDITIONREG@103.510:zaznam_vnut_adresati_29">
    <vt:lpwstr/>
  </property>
  <property fmtid="{D5CDD505-2E9C-101B-9397-08002B2CF9AE}" pid="183" name="FSC#SKEDITIONREG@103.510:zaznam_vnut_adresati_3">
    <vt:lpwstr/>
  </property>
  <property fmtid="{D5CDD505-2E9C-101B-9397-08002B2CF9AE}" pid="184" name="FSC#SKEDITIONREG@103.510:zaznam_vnut_adresati_30">
    <vt:lpwstr/>
  </property>
  <property fmtid="{D5CDD505-2E9C-101B-9397-08002B2CF9AE}" pid="185" name="FSC#SKEDITIONREG@103.510:zaznam_vnut_adresati_31">
    <vt:lpwstr/>
  </property>
  <property fmtid="{D5CDD505-2E9C-101B-9397-08002B2CF9AE}" pid="186" name="FSC#SKEDITIONREG@103.510:zaznam_vnut_adresati_32">
    <vt:lpwstr/>
  </property>
  <property fmtid="{D5CDD505-2E9C-101B-9397-08002B2CF9AE}" pid="187" name="FSC#SKEDITIONREG@103.510:zaznam_vnut_adresati_33">
    <vt:lpwstr/>
  </property>
  <property fmtid="{D5CDD505-2E9C-101B-9397-08002B2CF9AE}" pid="188" name="FSC#SKEDITIONREG@103.510:zaznam_vnut_adresati_34">
    <vt:lpwstr/>
  </property>
  <property fmtid="{D5CDD505-2E9C-101B-9397-08002B2CF9AE}" pid="189" name="FSC#SKEDITIONREG@103.510:zaznam_vnut_adresati_35">
    <vt:lpwstr/>
  </property>
  <property fmtid="{D5CDD505-2E9C-101B-9397-08002B2CF9AE}" pid="190" name="FSC#SKEDITIONREG@103.510:zaznam_vnut_adresati_36">
    <vt:lpwstr/>
  </property>
  <property fmtid="{D5CDD505-2E9C-101B-9397-08002B2CF9AE}" pid="191" name="FSC#SKEDITIONREG@103.510:zaznam_vnut_adresati_37">
    <vt:lpwstr/>
  </property>
  <property fmtid="{D5CDD505-2E9C-101B-9397-08002B2CF9AE}" pid="192" name="FSC#SKEDITIONREG@103.510:zaznam_vnut_adresati_38">
    <vt:lpwstr/>
  </property>
  <property fmtid="{D5CDD505-2E9C-101B-9397-08002B2CF9AE}" pid="193" name="FSC#SKEDITIONREG@103.510:zaznam_vnut_adresati_39">
    <vt:lpwstr/>
  </property>
  <property fmtid="{D5CDD505-2E9C-101B-9397-08002B2CF9AE}" pid="194" name="FSC#SKEDITIONREG@103.510:zaznam_vnut_adresati_4">
    <vt:lpwstr/>
  </property>
  <property fmtid="{D5CDD505-2E9C-101B-9397-08002B2CF9AE}" pid="195" name="FSC#SKEDITIONREG@103.510:zaznam_vnut_adresati_40">
    <vt:lpwstr/>
  </property>
  <property fmtid="{D5CDD505-2E9C-101B-9397-08002B2CF9AE}" pid="196" name="FSC#SKEDITIONREG@103.510:zaznam_vnut_adresati_41">
    <vt:lpwstr/>
  </property>
  <property fmtid="{D5CDD505-2E9C-101B-9397-08002B2CF9AE}" pid="197" name="FSC#SKEDITIONREG@103.510:zaznam_vnut_adresati_42">
    <vt:lpwstr/>
  </property>
  <property fmtid="{D5CDD505-2E9C-101B-9397-08002B2CF9AE}" pid="198" name="FSC#SKEDITIONREG@103.510:zaznam_vnut_adresati_43">
    <vt:lpwstr/>
  </property>
  <property fmtid="{D5CDD505-2E9C-101B-9397-08002B2CF9AE}" pid="199" name="FSC#SKEDITIONREG@103.510:zaznam_vnut_adresati_44">
    <vt:lpwstr/>
  </property>
  <property fmtid="{D5CDD505-2E9C-101B-9397-08002B2CF9AE}" pid="200" name="FSC#SKEDITIONREG@103.510:zaznam_vnut_adresati_45">
    <vt:lpwstr/>
  </property>
  <property fmtid="{D5CDD505-2E9C-101B-9397-08002B2CF9AE}" pid="201" name="FSC#SKEDITIONREG@103.510:zaznam_vnut_adresati_46">
    <vt:lpwstr/>
  </property>
  <property fmtid="{D5CDD505-2E9C-101B-9397-08002B2CF9AE}" pid="202" name="FSC#SKEDITIONREG@103.510:zaznam_vnut_adresati_47">
    <vt:lpwstr/>
  </property>
  <property fmtid="{D5CDD505-2E9C-101B-9397-08002B2CF9AE}" pid="203" name="FSC#SKEDITIONREG@103.510:zaznam_vnut_adresati_48">
    <vt:lpwstr/>
  </property>
  <property fmtid="{D5CDD505-2E9C-101B-9397-08002B2CF9AE}" pid="204" name="FSC#SKEDITIONREG@103.510:zaznam_vnut_adresati_49">
    <vt:lpwstr/>
  </property>
  <property fmtid="{D5CDD505-2E9C-101B-9397-08002B2CF9AE}" pid="205" name="FSC#SKEDITIONREG@103.510:zaznam_vnut_adresati_5">
    <vt:lpwstr/>
  </property>
  <property fmtid="{D5CDD505-2E9C-101B-9397-08002B2CF9AE}" pid="206" name="FSC#SKEDITIONREG@103.510:zaznam_vnut_adresati_50">
    <vt:lpwstr/>
  </property>
  <property fmtid="{D5CDD505-2E9C-101B-9397-08002B2CF9AE}" pid="207" name="FSC#SKEDITIONREG@103.510:zaznam_vnut_adresati_51">
    <vt:lpwstr/>
  </property>
  <property fmtid="{D5CDD505-2E9C-101B-9397-08002B2CF9AE}" pid="208" name="FSC#SKEDITIONREG@103.510:zaznam_vnut_adresati_52">
    <vt:lpwstr/>
  </property>
  <property fmtid="{D5CDD505-2E9C-101B-9397-08002B2CF9AE}" pid="209" name="FSC#SKEDITIONREG@103.510:zaznam_vnut_adresati_53">
    <vt:lpwstr/>
  </property>
  <property fmtid="{D5CDD505-2E9C-101B-9397-08002B2CF9AE}" pid="210" name="FSC#SKEDITIONREG@103.510:zaznam_vnut_adresati_54">
    <vt:lpwstr/>
  </property>
  <property fmtid="{D5CDD505-2E9C-101B-9397-08002B2CF9AE}" pid="211" name="FSC#SKEDITIONREG@103.510:zaznam_vnut_adresati_55">
    <vt:lpwstr/>
  </property>
  <property fmtid="{D5CDD505-2E9C-101B-9397-08002B2CF9AE}" pid="212" name="FSC#SKEDITIONREG@103.510:zaznam_vnut_adresati_56">
    <vt:lpwstr/>
  </property>
  <property fmtid="{D5CDD505-2E9C-101B-9397-08002B2CF9AE}" pid="213" name="FSC#SKEDITIONREG@103.510:zaznam_vnut_adresati_57">
    <vt:lpwstr/>
  </property>
  <property fmtid="{D5CDD505-2E9C-101B-9397-08002B2CF9AE}" pid="214" name="FSC#SKEDITIONREG@103.510:zaznam_vnut_adresati_58">
    <vt:lpwstr/>
  </property>
  <property fmtid="{D5CDD505-2E9C-101B-9397-08002B2CF9AE}" pid="215" name="FSC#SKEDITIONREG@103.510:zaznam_vnut_adresati_59">
    <vt:lpwstr/>
  </property>
  <property fmtid="{D5CDD505-2E9C-101B-9397-08002B2CF9AE}" pid="216" name="FSC#SKEDITIONREG@103.510:zaznam_vnut_adresati_6">
    <vt:lpwstr/>
  </property>
  <property fmtid="{D5CDD505-2E9C-101B-9397-08002B2CF9AE}" pid="217" name="FSC#SKEDITIONREG@103.510:zaznam_vnut_adresati_60">
    <vt:lpwstr/>
  </property>
  <property fmtid="{D5CDD505-2E9C-101B-9397-08002B2CF9AE}" pid="218" name="FSC#SKEDITIONREG@103.510:zaznam_vnut_adresati_61">
    <vt:lpwstr/>
  </property>
  <property fmtid="{D5CDD505-2E9C-101B-9397-08002B2CF9AE}" pid="219" name="FSC#SKEDITIONREG@103.510:zaznam_vnut_adresati_62">
    <vt:lpwstr/>
  </property>
  <property fmtid="{D5CDD505-2E9C-101B-9397-08002B2CF9AE}" pid="220" name="FSC#SKEDITIONREG@103.510:zaznam_vnut_adresati_63">
    <vt:lpwstr/>
  </property>
  <property fmtid="{D5CDD505-2E9C-101B-9397-08002B2CF9AE}" pid="221" name="FSC#SKEDITIONREG@103.510:zaznam_vnut_adresati_64">
    <vt:lpwstr/>
  </property>
  <property fmtid="{D5CDD505-2E9C-101B-9397-08002B2CF9AE}" pid="222" name="FSC#SKEDITIONREG@103.510:zaznam_vnut_adresati_65">
    <vt:lpwstr/>
  </property>
  <property fmtid="{D5CDD505-2E9C-101B-9397-08002B2CF9AE}" pid="223" name="FSC#SKEDITIONREG@103.510:zaznam_vnut_adresati_66">
    <vt:lpwstr/>
  </property>
  <property fmtid="{D5CDD505-2E9C-101B-9397-08002B2CF9AE}" pid="224" name="FSC#SKEDITIONREG@103.510:zaznam_vnut_adresati_67">
    <vt:lpwstr/>
  </property>
  <property fmtid="{D5CDD505-2E9C-101B-9397-08002B2CF9AE}" pid="225" name="FSC#SKEDITIONREG@103.510:zaznam_vnut_adresati_68">
    <vt:lpwstr/>
  </property>
  <property fmtid="{D5CDD505-2E9C-101B-9397-08002B2CF9AE}" pid="226" name="FSC#SKEDITIONREG@103.510:zaznam_vnut_adresati_69">
    <vt:lpwstr/>
  </property>
  <property fmtid="{D5CDD505-2E9C-101B-9397-08002B2CF9AE}" pid="227" name="FSC#SKEDITIONREG@103.510:zaznam_vnut_adresati_7">
    <vt:lpwstr/>
  </property>
  <property fmtid="{D5CDD505-2E9C-101B-9397-08002B2CF9AE}" pid="228" name="FSC#SKEDITIONREG@103.510:zaznam_vnut_adresati_70">
    <vt:lpwstr/>
  </property>
  <property fmtid="{D5CDD505-2E9C-101B-9397-08002B2CF9AE}" pid="229" name="FSC#SKEDITIONREG@103.510:zaznam_vnut_adresati_8">
    <vt:lpwstr/>
  </property>
  <property fmtid="{D5CDD505-2E9C-101B-9397-08002B2CF9AE}" pid="230" name="FSC#SKEDITIONREG@103.510:zaznam_vnut_adresati_9">
    <vt:lpwstr/>
  </property>
  <property fmtid="{D5CDD505-2E9C-101B-9397-08002B2CF9AE}" pid="231" name="FSC#SKEDITIONREG@103.510:zaznam_vonk_adresati_1">
    <vt:lpwstr/>
  </property>
  <property fmtid="{D5CDD505-2E9C-101B-9397-08002B2CF9AE}" pid="232" name="FSC#SKEDITIONREG@103.510:zaznam_vonk_adresati_10">
    <vt:lpwstr/>
  </property>
  <property fmtid="{D5CDD505-2E9C-101B-9397-08002B2CF9AE}" pid="233" name="FSC#SKEDITIONREG@103.510:zaznam_vonk_adresati_11">
    <vt:lpwstr/>
  </property>
  <property fmtid="{D5CDD505-2E9C-101B-9397-08002B2CF9AE}" pid="234" name="FSC#SKEDITIONREG@103.510:zaznam_vonk_adresati_12">
    <vt:lpwstr/>
  </property>
  <property fmtid="{D5CDD505-2E9C-101B-9397-08002B2CF9AE}" pid="235" name="FSC#SKEDITIONREG@103.510:zaznam_vonk_adresati_13">
    <vt:lpwstr/>
  </property>
  <property fmtid="{D5CDD505-2E9C-101B-9397-08002B2CF9AE}" pid="236" name="FSC#SKEDITIONREG@103.510:zaznam_vonk_adresati_14">
    <vt:lpwstr/>
  </property>
  <property fmtid="{D5CDD505-2E9C-101B-9397-08002B2CF9AE}" pid="237" name="FSC#SKEDITIONREG@103.510:zaznam_vonk_adresati_15">
    <vt:lpwstr/>
  </property>
  <property fmtid="{D5CDD505-2E9C-101B-9397-08002B2CF9AE}" pid="238" name="FSC#SKEDITIONREG@103.510:zaznam_vonk_adresati_16">
    <vt:lpwstr/>
  </property>
  <property fmtid="{D5CDD505-2E9C-101B-9397-08002B2CF9AE}" pid="239" name="FSC#SKEDITIONREG@103.510:zaznam_vonk_adresati_17">
    <vt:lpwstr/>
  </property>
  <property fmtid="{D5CDD505-2E9C-101B-9397-08002B2CF9AE}" pid="240" name="FSC#SKEDITIONREG@103.510:zaznam_vonk_adresati_18">
    <vt:lpwstr/>
  </property>
  <property fmtid="{D5CDD505-2E9C-101B-9397-08002B2CF9AE}" pid="241" name="FSC#SKEDITIONREG@103.510:zaznam_vonk_adresati_19">
    <vt:lpwstr/>
  </property>
  <property fmtid="{D5CDD505-2E9C-101B-9397-08002B2CF9AE}" pid="242" name="FSC#SKEDITIONREG@103.510:zaznam_vonk_adresati_2">
    <vt:lpwstr/>
  </property>
  <property fmtid="{D5CDD505-2E9C-101B-9397-08002B2CF9AE}" pid="243" name="FSC#SKEDITIONREG@103.510:zaznam_vonk_adresati_20">
    <vt:lpwstr/>
  </property>
  <property fmtid="{D5CDD505-2E9C-101B-9397-08002B2CF9AE}" pid="244" name="FSC#SKEDITIONREG@103.510:zaznam_vonk_adresati_21">
    <vt:lpwstr/>
  </property>
  <property fmtid="{D5CDD505-2E9C-101B-9397-08002B2CF9AE}" pid="245" name="FSC#SKEDITIONREG@103.510:zaznam_vonk_adresati_22">
    <vt:lpwstr/>
  </property>
  <property fmtid="{D5CDD505-2E9C-101B-9397-08002B2CF9AE}" pid="246" name="FSC#SKEDITIONREG@103.510:zaznam_vonk_adresati_23">
    <vt:lpwstr/>
  </property>
  <property fmtid="{D5CDD505-2E9C-101B-9397-08002B2CF9AE}" pid="247" name="FSC#SKEDITIONREG@103.510:zaznam_vonk_adresati_24">
    <vt:lpwstr/>
  </property>
  <property fmtid="{D5CDD505-2E9C-101B-9397-08002B2CF9AE}" pid="248" name="FSC#SKEDITIONREG@103.510:zaznam_vonk_adresati_25">
    <vt:lpwstr/>
  </property>
  <property fmtid="{D5CDD505-2E9C-101B-9397-08002B2CF9AE}" pid="249" name="FSC#SKEDITIONREG@103.510:zaznam_vonk_adresati_26">
    <vt:lpwstr/>
  </property>
  <property fmtid="{D5CDD505-2E9C-101B-9397-08002B2CF9AE}" pid="250" name="FSC#SKEDITIONREG@103.510:zaznam_vonk_adresati_27">
    <vt:lpwstr/>
  </property>
  <property fmtid="{D5CDD505-2E9C-101B-9397-08002B2CF9AE}" pid="251" name="FSC#SKEDITIONREG@103.510:zaznam_vonk_adresati_28">
    <vt:lpwstr/>
  </property>
  <property fmtid="{D5CDD505-2E9C-101B-9397-08002B2CF9AE}" pid="252" name="FSC#SKEDITIONREG@103.510:zaznam_vonk_adresati_29">
    <vt:lpwstr/>
  </property>
  <property fmtid="{D5CDD505-2E9C-101B-9397-08002B2CF9AE}" pid="253" name="FSC#SKEDITIONREG@103.510:zaznam_vonk_adresati_3">
    <vt:lpwstr/>
  </property>
  <property fmtid="{D5CDD505-2E9C-101B-9397-08002B2CF9AE}" pid="254" name="FSC#SKEDITIONREG@103.510:zaznam_vonk_adresati_30">
    <vt:lpwstr/>
  </property>
  <property fmtid="{D5CDD505-2E9C-101B-9397-08002B2CF9AE}" pid="255" name="FSC#SKEDITIONREG@103.510:zaznam_vonk_adresati_31">
    <vt:lpwstr/>
  </property>
  <property fmtid="{D5CDD505-2E9C-101B-9397-08002B2CF9AE}" pid="256" name="FSC#SKEDITIONREG@103.510:zaznam_vonk_adresati_32">
    <vt:lpwstr/>
  </property>
  <property fmtid="{D5CDD505-2E9C-101B-9397-08002B2CF9AE}" pid="257" name="FSC#SKEDITIONREG@103.510:zaznam_vonk_adresati_33">
    <vt:lpwstr/>
  </property>
  <property fmtid="{D5CDD505-2E9C-101B-9397-08002B2CF9AE}" pid="258" name="FSC#SKEDITIONREG@103.510:zaznam_vonk_adresati_34">
    <vt:lpwstr/>
  </property>
  <property fmtid="{D5CDD505-2E9C-101B-9397-08002B2CF9AE}" pid="259" name="FSC#SKEDITIONREG@103.510:zaznam_vonk_adresati_35">
    <vt:lpwstr/>
  </property>
  <property fmtid="{D5CDD505-2E9C-101B-9397-08002B2CF9AE}" pid="260" name="FSC#SKEDITIONREG@103.510:zaznam_vonk_adresati_4">
    <vt:lpwstr/>
  </property>
  <property fmtid="{D5CDD505-2E9C-101B-9397-08002B2CF9AE}" pid="261" name="FSC#SKEDITIONREG@103.510:zaznam_vonk_adresati_5">
    <vt:lpwstr/>
  </property>
  <property fmtid="{D5CDD505-2E9C-101B-9397-08002B2CF9AE}" pid="262" name="FSC#SKEDITIONREG@103.510:zaznam_vonk_adresati_6">
    <vt:lpwstr/>
  </property>
  <property fmtid="{D5CDD505-2E9C-101B-9397-08002B2CF9AE}" pid="263" name="FSC#SKEDITIONREG@103.510:zaznam_vonk_adresati_7">
    <vt:lpwstr/>
  </property>
  <property fmtid="{D5CDD505-2E9C-101B-9397-08002B2CF9AE}" pid="264" name="FSC#SKEDITIONREG@103.510:zaznam_vonk_adresati_8">
    <vt:lpwstr/>
  </property>
  <property fmtid="{D5CDD505-2E9C-101B-9397-08002B2CF9AE}" pid="265" name="FSC#SKEDITIONREG@103.510:zaznam_vonk_adresati_9">
    <vt:lpwstr/>
  </property>
  <property fmtid="{D5CDD505-2E9C-101B-9397-08002B2CF9AE}" pid="266" name="FSC#SKEDITIONREG@103.510:Stazovatel">
    <vt:lpwstr/>
  </property>
  <property fmtid="{D5CDD505-2E9C-101B-9397-08002B2CF9AE}" pid="267" name="FSC#SKEDITIONREG@103.510:ProtiKomu">
    <vt:lpwstr/>
  </property>
  <property fmtid="{D5CDD505-2E9C-101B-9397-08002B2CF9AE}" pid="268" name="FSC#SKEDITIONREG@103.510:EvCisloStaz">
    <vt:lpwstr/>
  </property>
  <property fmtid="{D5CDD505-2E9C-101B-9397-08002B2CF9AE}" pid="269" name="FSC#SKEDITIONREG@103.510:jod_AttrDateSkutocnyDatumVydania">
    <vt:lpwstr/>
  </property>
  <property fmtid="{D5CDD505-2E9C-101B-9397-08002B2CF9AE}" pid="270" name="FSC#SKEDITIONREG@103.510:jod_AttrNumCisloZmeny">
    <vt:lpwstr/>
  </property>
  <property fmtid="{D5CDD505-2E9C-101B-9397-08002B2CF9AE}" pid="271" name="FSC#SKEDITIONREG@103.510:jod_AttrStrListDovodZmeny">
    <vt:lpwstr/>
  </property>
  <property fmtid="{D5CDD505-2E9C-101B-9397-08002B2CF9AE}" pid="272" name="FSC#SKEDITIONREG@103.510:jod_AttrStrRegCisloZaznamu">
    <vt:lpwstr/>
  </property>
  <property fmtid="{D5CDD505-2E9C-101B-9397-08002B2CF9AE}" pid="273" name="FSC#SKEDITIONREG@103.510:jod_cislodoc">
    <vt:lpwstr/>
  </property>
  <property fmtid="{D5CDD505-2E9C-101B-9397-08002B2CF9AE}" pid="274" name="FSC#SKEDITIONREG@103.510:jod_druh">
    <vt:lpwstr/>
  </property>
  <property fmtid="{D5CDD505-2E9C-101B-9397-08002B2CF9AE}" pid="275" name="FSC#SKEDITIONREG@103.510:jod_extension">
    <vt:lpwstr/>
  </property>
  <property fmtid="{D5CDD505-2E9C-101B-9397-08002B2CF9AE}" pid="276" name="FSC#SKEDITIONREG@103.510:jod_faxou">
    <vt:lpwstr/>
  </property>
  <property fmtid="{D5CDD505-2E9C-101B-9397-08002B2CF9AE}" pid="277" name="FSC#SKEDITIONREG@103.510:jod_lu">
    <vt:lpwstr/>
  </property>
  <property fmtid="{D5CDD505-2E9C-101B-9397-08002B2CF9AE}" pid="278" name="FSC#SKEDITIONREG@103.510:jod_nazov">
    <vt:lpwstr/>
  </property>
  <property fmtid="{D5CDD505-2E9C-101B-9397-08002B2CF9AE}" pid="279" name="FSC#SKEDITIONREG@103.510:jod_sAttrBoolDozRadaSchvaluje">
    <vt:lpwstr/>
  </property>
  <property fmtid="{D5CDD505-2E9C-101B-9397-08002B2CF9AE}" pid="280" name="FSC#SKEDITIONREG@103.510:jod_sAttrBoolSuvDocPrevBezp">
    <vt:lpwstr/>
  </property>
  <property fmtid="{D5CDD505-2E9C-101B-9397-08002B2CF9AE}" pid="281" name="FSC#SKEDITIONREG@103.510:jod_sAttrDateDatum">
    <vt:lpwstr/>
  </property>
  <property fmtid="{D5CDD505-2E9C-101B-9397-08002B2CF9AE}" pid="282" name="FSC#SKEDITIONREG@103.510:jod_sAttrDateDatumDodania">
    <vt:lpwstr/>
  </property>
  <property fmtid="{D5CDD505-2E9C-101B-9397-08002B2CF9AE}" pid="283" name="FSC#SKEDITIONREG@103.510:jod_sAttrDateDatumPrevierky">
    <vt:lpwstr/>
  </property>
  <property fmtid="{D5CDD505-2E9C-101B-9397-08002B2CF9AE}" pid="284" name="FSC#SKEDITIONREG@103.510:jod_sAttrDateDatumPrijatia">
    <vt:lpwstr/>
  </property>
  <property fmtid="{D5CDD505-2E9C-101B-9397-08002B2CF9AE}" pid="285" name="FSC#SKEDITIONREG@103.510:jod_sAttrDateDatumVzniku">
    <vt:lpwstr/>
  </property>
  <property fmtid="{D5CDD505-2E9C-101B-9397-08002B2CF9AE}" pid="286" name="FSC#SKEDITIONREG@103.510:jod_sAttrDateDatumZaradeniaPouz">
    <vt:lpwstr/>
  </property>
  <property fmtid="{D5CDD505-2E9C-101B-9397-08002B2CF9AE}" pid="287" name="FSC#SKEDITIONREG@103.510:jod_sAttrDateDatumZverejnenia">
    <vt:lpwstr/>
  </property>
  <property fmtid="{D5CDD505-2E9C-101B-9397-08002B2CF9AE}" pid="288" name="FSC#SKEDITIONREG@103.510:jod_sAttrDateOdoslZodpOsobe">
    <vt:lpwstr/>
  </property>
  <property fmtid="{D5CDD505-2E9C-101B-9397-08002B2CF9AE}" pid="289" name="FSC#SKEDITIONREG@103.510:jod_sAttrDateOdovzdanieReal">
    <vt:lpwstr/>
  </property>
  <property fmtid="{D5CDD505-2E9C-101B-9397-08002B2CF9AE}" pid="290" name="FSC#SKEDITIONREG@103.510:jod_sAttrDatePlatnostDo">
    <vt:lpwstr/>
  </property>
  <property fmtid="{D5CDD505-2E9C-101B-9397-08002B2CF9AE}" pid="291" name="FSC#SKEDITIONREG@103.510:jod_sAttrDatePlatnostOd">
    <vt:lpwstr/>
  </property>
  <property fmtid="{D5CDD505-2E9C-101B-9397-08002B2CF9AE}" pid="292" name="FSC#SKEDITIONREG@103.510:jod_sAttrDatePodpis">
    <vt:lpwstr/>
  </property>
  <property fmtid="{D5CDD505-2E9C-101B-9397-08002B2CF9AE}" pid="293" name="FSC#SKEDITIONREG@103.510:jod_sAttrDatePredlozenieNaPodpis">
    <vt:lpwstr/>
  </property>
  <property fmtid="{D5CDD505-2E9C-101B-9397-08002B2CF9AE}" pid="294" name="FSC#SKEDITIONREG@103.510:jod_sAttrDatePredlTechSpec">
    <vt:lpwstr/>
  </property>
  <property fmtid="{D5CDD505-2E9C-101B-9397-08002B2CF9AE}" pid="295" name="FSC#SKEDITIONREG@103.510:jod_sAttrDateRealizaciaPrac">
    <vt:lpwstr/>
  </property>
  <property fmtid="{D5CDD505-2E9C-101B-9397-08002B2CF9AE}" pid="296" name="FSC#SKEDITIONREG@103.510:jod_sAttrDateTerminZPC">
    <vt:lpwstr/>
  </property>
  <property fmtid="{D5CDD505-2E9C-101B-9397-08002B2CF9AE}" pid="297" name="FSC#SKEDITIONREG@103.510:jod_sAttrDateUcinnostDoc">
    <vt:lpwstr/>
  </property>
  <property fmtid="{D5CDD505-2E9C-101B-9397-08002B2CF9AE}" pid="298" name="FSC#SKEDITIONREG@103.510:jod_sAttrDateUcinnostPoslZmeny">
    <vt:lpwstr/>
  </property>
  <property fmtid="{D5CDD505-2E9C-101B-9397-08002B2CF9AE}" pid="299" name="FSC#SKEDITIONREG@103.510:jod_sAttrDateUdalost">
    <vt:lpwstr/>
  </property>
  <property fmtid="{D5CDD505-2E9C-101B-9397-08002B2CF9AE}" pid="300" name="FSC#SKEDITIONREG@103.510:jod_sAttrDateUkonPlatnostZmluvy">
    <vt:lpwstr/>
  </property>
  <property fmtid="{D5CDD505-2E9C-101B-9397-08002B2CF9AE}" pid="301" name="FSC#SKEDITIONREG@103.510:jod_sAttrDateUzatvNezhody">
    <vt:lpwstr/>
  </property>
  <property fmtid="{D5CDD505-2E9C-101B-9397-08002B2CF9AE}" pid="302" name="FSC#SKEDITIONREG@103.510:jod_sAttrDateVydanie">
    <vt:lpwstr/>
  </property>
  <property fmtid="{D5CDD505-2E9C-101B-9397-08002B2CF9AE}" pid="303" name="FSC#SKEDITIONREG@103.510:jod_sAttrDateVyhotovenie">
    <vt:lpwstr/>
  </property>
  <property fmtid="{D5CDD505-2E9C-101B-9397-08002B2CF9AE}" pid="304" name="FSC#SKEDITIONREG@103.510:jod_sAttrDateVyhotovenieProt">
    <vt:lpwstr/>
  </property>
  <property fmtid="{D5CDD505-2E9C-101B-9397-08002B2CF9AE}" pid="305" name="FSC#SKEDITIONREG@103.510:jod_sAttrDateVykonanieAuditu">
    <vt:lpwstr/>
  </property>
  <property fmtid="{D5CDD505-2E9C-101B-9397-08002B2CF9AE}" pid="306" name="FSC#SKEDITIONREG@103.510:jod_sAttrDateVystaveneDna">
    <vt:lpwstr/>
  </property>
  <property fmtid="{D5CDD505-2E9C-101B-9397-08002B2CF9AE}" pid="307" name="FSC#SKEDITIONREG@103.510:jod_sAttrDateVznikUdalosti">
    <vt:lpwstr/>
  </property>
  <property fmtid="{D5CDD505-2E9C-101B-9397-08002B2CF9AE}" pid="308" name="FSC#SKEDITIONREG@103.510:jod_sAttrDateZaciatokObehu">
    <vt:lpwstr/>
  </property>
  <property fmtid="{D5CDD505-2E9C-101B-9397-08002B2CF9AE}" pid="309" name="FSC#SKEDITIONREG@103.510:jod_sAttrEnumCisloStrediska">
    <vt:lpwstr/>
  </property>
  <property fmtid="{D5CDD505-2E9C-101B-9397-08002B2CF9AE}" pid="310" name="FSC#SKEDITIONREG@103.510:jod_sAttrEnumMena">
    <vt:lpwstr/>
  </property>
  <property fmtid="{D5CDD505-2E9C-101B-9397-08002B2CF9AE}" pid="311" name="FSC#SKEDITIONREG@103.510:jod_sAttrEnumPripomienkyZapracov">
    <vt:lpwstr/>
  </property>
  <property fmtid="{D5CDD505-2E9C-101B-9397-08002B2CF9AE}" pid="312" name="FSC#SKEDITIONREG@103.510:jod_sAttrEnumStHierZaclen">
    <vt:lpwstr/>
  </property>
  <property fmtid="{D5CDD505-2E9C-101B-9397-08002B2CF9AE}" pid="313" name="FSC#SKEDITIONREG@103.510:jod_sAttrNumCisloAkcie">
    <vt:lpwstr/>
  </property>
  <property fmtid="{D5CDD505-2E9C-101B-9397-08002B2CF9AE}" pid="314" name="FSC#SKEDITIONREG@103.510:jod_sAttrNumCisloCD">
    <vt:lpwstr/>
  </property>
  <property fmtid="{D5CDD505-2E9C-101B-9397-08002B2CF9AE}" pid="315" name="FSC#SKEDITIONREG@103.510:jod_sAttrNumCisloCyklu">
    <vt:lpwstr/>
  </property>
  <property fmtid="{D5CDD505-2E9C-101B-9397-08002B2CF9AE}" pid="316" name="FSC#SKEDITIONREG@103.510:jod_sAttrNumCisloPoslZmenyDoc">
    <vt:lpwstr/>
  </property>
  <property fmtid="{D5CDD505-2E9C-101B-9397-08002B2CF9AE}" pid="317" name="FSC#SKEDITIONREG@103.510:jod_sAttrNumCisloUtvaru">
    <vt:lpwstr/>
  </property>
  <property fmtid="{D5CDD505-2E9C-101B-9397-08002B2CF9AE}" pid="318" name="FSC#SKEDITIONREG@103.510:jod_sAttrNumCisloVydania">
    <vt:lpwstr/>
  </property>
  <property fmtid="{D5CDD505-2E9C-101B-9397-08002B2CF9AE}" pid="319" name="FSC#SKEDITIONREG@103.510:jod_sAttrNumCisloZamestnanca">
    <vt:lpwstr/>
  </property>
  <property fmtid="{D5CDD505-2E9C-101B-9397-08002B2CF9AE}" pid="320" name="FSC#SKEDITIONREG@103.510:jod_sAttrNumCisloZmeny">
    <vt:lpwstr/>
  </property>
  <property fmtid="{D5CDD505-2E9C-101B-9397-08002B2CF9AE}" pid="321" name="FSC#SKEDITIONREG@103.510:jod_sAttrNumPorCislo">
    <vt:lpwstr/>
  </property>
  <property fmtid="{D5CDD505-2E9C-101B-9397-08002B2CF9AE}" pid="322" name="FSC#SKEDITIONREG@103.510:jod_sAttrNumRok">
    <vt:lpwstr/>
  </property>
  <property fmtid="{D5CDD505-2E9C-101B-9397-08002B2CF9AE}" pid="323" name="FSC#SKEDITIONREG@103.510:jod_sAttrNumSuma">
    <vt:lpwstr/>
  </property>
  <property fmtid="{D5CDD505-2E9C-101B-9397-08002B2CF9AE}" pid="324" name="FSC#SKEDITIONREG@103.510:jod_sAttrNumSumaBezDPH">
    <vt:lpwstr/>
  </property>
  <property fmtid="{D5CDD505-2E9C-101B-9397-08002B2CF9AE}" pid="325" name="FSC#SKEDITIONREG@103.510:jod_sAttrNumSumaDPH">
    <vt:lpwstr/>
  </property>
  <property fmtid="{D5CDD505-2E9C-101B-9397-08002B2CF9AE}" pid="326" name="FSC#SKEDITIONREG@103.510:jod_sAttrNumSumaZahrMena">
    <vt:lpwstr/>
  </property>
  <property fmtid="{D5CDD505-2E9C-101B-9397-08002B2CF9AE}" pid="327" name="FSC#SKEDITIONREG@103.510:jod_sAttrPtrAuditOrgUtvar">
    <vt:lpwstr/>
  </property>
  <property fmtid="{D5CDD505-2E9C-101B-9397-08002B2CF9AE}" pid="328" name="FSC#SKEDITIONREG@103.510:jod_sAttrPtrBanka">
    <vt:lpwstr/>
  </property>
  <property fmtid="{D5CDD505-2E9C-101B-9397-08002B2CF9AE}" pid="329" name="FSC#SKEDITIONREG@103.510:jod_sAttrPtrCisloStrediska_Utvar">
    <vt:lpwstr/>
  </property>
  <property fmtid="{D5CDD505-2E9C-101B-9397-08002B2CF9AE}" pid="330" name="FSC#SKEDITIONREG@103.510:jod_sAttrPtrDodavatel">
    <vt:lpwstr/>
  </property>
  <property fmtid="{D5CDD505-2E9C-101B-9397-08002B2CF9AE}" pid="331" name="FSC#SKEDITIONREG@103.510:jod_sAttrPtrDodavateladdr">
    <vt:lpwstr/>
  </property>
  <property fmtid="{D5CDD505-2E9C-101B-9397-08002B2CF9AE}" pid="332" name="FSC#SKEDITIONREG@103.510:jod_sAttrPtrGestor">
    <vt:lpwstr/>
  </property>
  <property fmtid="{D5CDD505-2E9C-101B-9397-08002B2CF9AE}" pid="333" name="FSC#SKEDITIONREG@103.510:jod_sAttrPtrListClenoviaPreverTi">
    <vt:lpwstr/>
  </property>
  <property fmtid="{D5CDD505-2E9C-101B-9397-08002B2CF9AE}" pid="334" name="FSC#SKEDITIONREG@103.510:jod_sAttrPtrListZmluvaPrerokoval">
    <vt:lpwstr/>
  </property>
  <property fmtid="{D5CDD505-2E9C-101B-9397-08002B2CF9AE}" pid="335" name="FSC#SKEDITIONREG@103.510:jod_sAttrPtrOdosielatel">
    <vt:lpwstr/>
  </property>
  <property fmtid="{D5CDD505-2E9C-101B-9397-08002B2CF9AE}" pid="336" name="FSC#SKEDITIONREG@103.510:jod_sAttrPtrOdosielOrgUtv">
    <vt:lpwstr/>
  </property>
  <property fmtid="{D5CDD505-2E9C-101B-9397-08002B2CF9AE}" pid="337" name="FSC#SKEDITIONREG@103.510:jod_sAttrPtrOrgUtvarGestora">
    <vt:lpwstr/>
  </property>
  <property fmtid="{D5CDD505-2E9C-101B-9397-08002B2CF9AE}" pid="338" name="FSC#SKEDITIONREG@103.510:jod_sAttrPtrOrgUtvSchvalovatela">
    <vt:lpwstr/>
  </property>
  <property fmtid="{D5CDD505-2E9C-101B-9397-08002B2CF9AE}" pid="339" name="FSC#SKEDITIONREG@103.510:jod_sAttrPtrPovinnaOsoba">
    <vt:lpwstr/>
  </property>
  <property fmtid="{D5CDD505-2E9C-101B-9397-08002B2CF9AE}" pid="340" name="FSC#SKEDITIONREG@103.510:jod_sAttrPtrPreverovanyOrgUtv">
    <vt:lpwstr/>
  </property>
  <property fmtid="{D5CDD505-2E9C-101B-9397-08002B2CF9AE}" pid="341" name="FSC#SKEDITIONREG@103.510:jod_sAttrPtrRozdelDistribucia">
    <vt:lpwstr/>
  </property>
  <property fmtid="{D5CDD505-2E9C-101B-9397-08002B2CF9AE}" pid="342" name="FSC#SKEDITIONREG@103.510:jod_sAttrPtrSchvalil">
    <vt:lpwstr/>
  </property>
  <property fmtid="{D5CDD505-2E9C-101B-9397-08002B2CF9AE}" pid="343" name="FSC#SKEDITIONREG@103.510:jod_sAttrPtrSchvalovatel">
    <vt:lpwstr/>
  </property>
  <property fmtid="{D5CDD505-2E9C-101B-9397-08002B2CF9AE}" pid="344" name="FSC#SKEDITIONREG@103.510:jod_sAttrPtrSchvalovatel_Fnct">
    <vt:lpwstr/>
  </property>
  <property fmtid="{D5CDD505-2E9C-101B-9397-08002B2CF9AE}" pid="345" name="FSC#SKEDITIONREG@103.510:jod_sAttrPtrSplnomocnenaOsoba">
    <vt:lpwstr/>
  </property>
  <property fmtid="{D5CDD505-2E9C-101B-9397-08002B2CF9AE}" pid="346" name="FSC#SKEDITIONREG@103.510:jod_sAttrPtrSplnomocnitel">
    <vt:lpwstr/>
  </property>
  <property fmtid="{D5CDD505-2E9C-101B-9397-08002B2CF9AE}" pid="347" name="FSC#SKEDITIONREG@103.510:jod_sAttrPtrSpracoval">
    <vt:lpwstr/>
  </property>
  <property fmtid="{D5CDD505-2E9C-101B-9397-08002B2CF9AE}" pid="348" name="FSC#SKEDITIONREG@103.510:jod_sAttrPtrStatutar">
    <vt:lpwstr/>
  </property>
  <property fmtid="{D5CDD505-2E9C-101B-9397-08002B2CF9AE}" pid="349" name="FSC#SKEDITIONREG@103.510:jod_sAttrPtrUrcenyZamestnanec">
    <vt:lpwstr/>
  </property>
  <property fmtid="{D5CDD505-2E9C-101B-9397-08002B2CF9AE}" pid="350" name="FSC#SKEDITIONREG@103.510:jod_sAttrPtrVeduciAuditTim">
    <vt:lpwstr/>
  </property>
  <property fmtid="{D5CDD505-2E9C-101B-9397-08002B2CF9AE}" pid="351" name="FSC#SKEDITIONREG@103.510:jod_sAttrPtrVeduciPrevTimu">
    <vt:lpwstr/>
  </property>
  <property fmtid="{D5CDD505-2E9C-101B-9397-08002B2CF9AE}" pid="352" name="FSC#SKEDITIONREG@103.510:jod_sAttrPtrVeduciZamestnanec">
    <vt:lpwstr/>
  </property>
  <property fmtid="{D5CDD505-2E9C-101B-9397-08002B2CF9AE}" pid="353" name="FSC#SKEDITIONREG@103.510:jod_sAttrPtrVybavuje">
    <vt:lpwstr/>
  </property>
  <property fmtid="{D5CDD505-2E9C-101B-9397-08002B2CF9AE}" pid="354" name="FSC#SKEDITIONREG@103.510:jod_sAttrPtrVykonavatel">
    <vt:lpwstr/>
  </property>
  <property fmtid="{D5CDD505-2E9C-101B-9397-08002B2CF9AE}" pid="355" name="FSC#SKEDITIONREG@103.510:jod_sAttrPtrVystavitel">
    <vt:lpwstr/>
  </property>
  <property fmtid="{D5CDD505-2E9C-101B-9397-08002B2CF9AE}" pid="356" name="FSC#SKEDITIONREG@103.510:jod_sAttrPtrZamestnanecUdrziavan">
    <vt:lpwstr/>
  </property>
  <property fmtid="{D5CDD505-2E9C-101B-9397-08002B2CF9AE}" pid="357" name="FSC#SKEDITIONREG@103.510:jod_sAttrPtrZamRiesIdentZistenie">
    <vt:lpwstr/>
  </property>
  <property fmtid="{D5CDD505-2E9C-101B-9397-08002B2CF9AE}" pid="358" name="FSC#SKEDITIONREG@103.510:jod_sAttrPtrZiadatel">
    <vt:lpwstr/>
  </property>
  <property fmtid="{D5CDD505-2E9C-101B-9397-08002B2CF9AE}" pid="359" name="FSC#SKEDITIONREG@103.510:jod_sAttrPtrZiadatel_Fnct">
    <vt:lpwstr/>
  </property>
  <property fmtid="{D5CDD505-2E9C-101B-9397-08002B2CF9AE}" pid="360" name="FSC#SKEDITIONREG@103.510:jod_sAttrPtrZiadatel_Tel">
    <vt:lpwstr/>
  </property>
  <property fmtid="{D5CDD505-2E9C-101B-9397-08002B2CF9AE}" pid="361" name="FSC#SKEDITIONREG@103.510:jod_sAttrPtrZmlPrtnrDod">
    <vt:lpwstr/>
  </property>
  <property fmtid="{D5CDD505-2E9C-101B-9397-08002B2CF9AE}" pid="362" name="FSC#SKEDITIONREG@103.510:jod_sAttrStrAutor">
    <vt:lpwstr/>
  </property>
  <property fmtid="{D5CDD505-2E9C-101B-9397-08002B2CF9AE}" pid="363" name="FSC#SKEDITIONREG@103.510:jod_sAttrStrCena">
    <vt:lpwstr/>
  </property>
  <property fmtid="{D5CDD505-2E9C-101B-9397-08002B2CF9AE}" pid="364" name="FSC#SKEDITIONREG@103.510:jod_sAttrStrCisloCP">
    <vt:lpwstr/>
  </property>
  <property fmtid="{D5CDD505-2E9C-101B-9397-08002B2CF9AE}" pid="365" name="FSC#SKEDITIONREG@103.510:jod_sAttrStrCisloDHM">
    <vt:lpwstr/>
  </property>
  <property fmtid="{D5CDD505-2E9C-101B-9397-08002B2CF9AE}" pid="366" name="FSC#SKEDITIONREG@103.510:jod_sAttrStrCisloFaktury">
    <vt:lpwstr/>
  </property>
  <property fmtid="{D5CDD505-2E9C-101B-9397-08002B2CF9AE}" pid="367" name="FSC#SKEDITIONREG@103.510:jod_sAttrStrCisloFakturyLPS">
    <vt:lpwstr/>
  </property>
  <property fmtid="{D5CDD505-2E9C-101B-9397-08002B2CF9AE}" pid="368" name="FSC#SKEDITIONREG@103.510:jod_sAttrStrCisloNalezu">
    <vt:lpwstr/>
  </property>
  <property fmtid="{D5CDD505-2E9C-101B-9397-08002B2CF9AE}" pid="369" name="FSC#SKEDITIONREG@103.510:jod_sAttrStrCisloObjednavky">
    <vt:lpwstr/>
  </property>
  <property fmtid="{D5CDD505-2E9C-101B-9397-08002B2CF9AE}" pid="370" name="FSC#SKEDITIONREG@103.510:jod_sAttrStrCisloProtokolOprava">
    <vt:lpwstr/>
  </property>
  <property fmtid="{D5CDD505-2E9C-101B-9397-08002B2CF9AE}" pid="371" name="FSC#SKEDITIONREG@103.510:jod_sAttrStrCisloProtokoluPB">
    <vt:lpwstr/>
  </property>
  <property fmtid="{D5CDD505-2E9C-101B-9397-08002B2CF9AE}" pid="372" name="FSC#SKEDITIONREG@103.510:jod_sAttrStrCisloSpisOznUdalost">
    <vt:lpwstr/>
  </property>
  <property fmtid="{D5CDD505-2E9C-101B-9397-08002B2CF9AE}" pid="373" name="FSC#SKEDITIONREG@103.510:jod_sAttrStrCisloSplnomocnenia">
    <vt:lpwstr/>
  </property>
  <property fmtid="{D5CDD505-2E9C-101B-9397-08002B2CF9AE}" pid="374" name="FSC#SKEDITIONREG@103.510:jod_sAttrStrCisloUznesDozRady">
    <vt:lpwstr/>
  </property>
  <property fmtid="{D5CDD505-2E9C-101B-9397-08002B2CF9AE}" pid="375" name="FSC#SKEDITIONREG@103.510:jod_sAttrStrDruhUdalostLetPrev">
    <vt:lpwstr/>
  </property>
  <property fmtid="{D5CDD505-2E9C-101B-9397-08002B2CF9AE}" pid="376" name="FSC#SKEDITIONREG@103.510:jod_sAttrStrECZmluvy">
    <vt:lpwstr/>
  </property>
  <property fmtid="{D5CDD505-2E9C-101B-9397-08002B2CF9AE}" pid="377" name="FSC#SKEDITIONREG@103.510:jod_sAttrStrEnergetickeVyjadreni">
    <vt:lpwstr/>
  </property>
  <property fmtid="{D5CDD505-2E9C-101B-9397-08002B2CF9AE}" pid="378" name="FSC#SKEDITIONREG@103.510:jod_sAttrStrEvCisloMLK">
    <vt:lpwstr/>
  </property>
  <property fmtid="{D5CDD505-2E9C-101B-9397-08002B2CF9AE}" pid="379" name="FSC#SKEDITIONREG@103.510:jod_sAttrStrICO">
    <vt:lpwstr/>
  </property>
  <property fmtid="{D5CDD505-2E9C-101B-9397-08002B2CF9AE}" pid="380" name="FSC#SKEDITIONREG@103.510:jod_sAttrStrInventarneCislo">
    <vt:lpwstr/>
  </property>
  <property fmtid="{D5CDD505-2E9C-101B-9397-08002B2CF9AE}" pid="381" name="FSC#SKEDITIONREG@103.510:jod_sAttrStrKatUdalostLetPrev">
    <vt:lpwstr/>
  </property>
  <property fmtid="{D5CDD505-2E9C-101B-9397-08002B2CF9AE}" pid="382" name="FSC#SKEDITIONREG@103.510:jod_sAttrStrListDovodyUzavZml">
    <vt:lpwstr/>
  </property>
  <property fmtid="{D5CDD505-2E9C-101B-9397-08002B2CF9AE}" pid="383" name="FSC#SKEDITIONREG@103.510:jod_sAttrStrListKlucoveSlova">
    <vt:lpwstr/>
  </property>
  <property fmtid="{D5CDD505-2E9C-101B-9397-08002B2CF9AE}" pid="384" name="FSC#SKEDITIONREG@103.510:jod_sAttrStrListObsahTest">
    <vt:lpwstr/>
  </property>
  <property fmtid="{D5CDD505-2E9C-101B-9397-08002B2CF9AE}" pid="385" name="FSC#SKEDITIONREG@103.510:jod_sAttrStrListOpis">
    <vt:lpwstr/>
  </property>
  <property fmtid="{D5CDD505-2E9C-101B-9397-08002B2CF9AE}" pid="386" name="FSC#SKEDITIONREG@103.510:jod_sAttrStrListPoznamka">
    <vt:lpwstr/>
  </property>
  <property fmtid="{D5CDD505-2E9C-101B-9397-08002B2CF9AE}" pid="387" name="FSC#SKEDITIONREG@103.510:jod_sAttrStrListTechSpecPopis">
    <vt:lpwstr/>
  </property>
  <property fmtid="{D5CDD505-2E9C-101B-9397-08002B2CF9AE}" pid="388" name="FSC#SKEDITIONREG@103.510:jod_sAttrStrListUdalostLP">
    <vt:lpwstr/>
  </property>
  <property fmtid="{D5CDD505-2E9C-101B-9397-08002B2CF9AE}" pid="389" name="FSC#SKEDITIONREG@103.510:jod_sAttrStrListVyjadrenieIK">
    <vt:lpwstr/>
  </property>
  <property fmtid="{D5CDD505-2E9C-101B-9397-08002B2CF9AE}" pid="390" name="FSC#SKEDITIONREG@103.510:jod_sAttrStrListVysetrovaciTim">
    <vt:lpwstr/>
  </property>
  <property fmtid="{D5CDD505-2E9C-101B-9397-08002B2CF9AE}" pid="391" name="FSC#SKEDITIONREG@103.510:jod_sAttrStrListVysledokTest">
    <vt:lpwstr/>
  </property>
  <property fmtid="{D5CDD505-2E9C-101B-9397-08002B2CF9AE}" pid="392" name="FSC#SKEDITIONREG@103.510:jod_sAttrStrLokalita">
    <vt:lpwstr/>
  </property>
  <property fmtid="{D5CDD505-2E9C-101B-9397-08002B2CF9AE}" pid="393" name="FSC#SKEDITIONREG@103.510:jod_sAttrStrMesiacRok">
    <vt:lpwstr/>
  </property>
  <property fmtid="{D5CDD505-2E9C-101B-9397-08002B2CF9AE}" pid="394" name="FSC#SKEDITIONREG@103.510:jod_sAttrStrMiestoPrevierky">
    <vt:lpwstr/>
  </property>
  <property fmtid="{D5CDD505-2E9C-101B-9397-08002B2CF9AE}" pid="395" name="FSC#SKEDITIONREG@103.510:jod_sAttrStrMiestoUdalosti">
    <vt:lpwstr/>
  </property>
  <property fmtid="{D5CDD505-2E9C-101B-9397-08002B2CF9AE}" pid="396" name="FSC#SKEDITIONREG@103.510:jod_sAttrStrMiestoVzniku">
    <vt:lpwstr/>
  </property>
  <property fmtid="{D5CDD505-2E9C-101B-9397-08002B2CF9AE}" pid="397" name="FSC#SKEDITIONREG@103.510:jod_sAttrStrMiestoZPC">
    <vt:lpwstr/>
  </property>
  <property fmtid="{D5CDD505-2E9C-101B-9397-08002B2CF9AE}" pid="398" name="FSC#SKEDITIONREG@103.510:jod_sAttrStrNazovMajetku">
    <vt:lpwstr/>
  </property>
  <property fmtid="{D5CDD505-2E9C-101B-9397-08002B2CF9AE}" pid="399" name="FSC#SKEDITIONREG@103.510:jod_sAttrStrNazovMaterialu">
    <vt:lpwstr/>
  </property>
  <property fmtid="{D5CDD505-2E9C-101B-9397-08002B2CF9AE}" pid="400" name="FSC#SKEDITIONREG@103.510:jod_sAttrStrNazovPL">
    <vt:lpwstr/>
  </property>
  <property fmtid="{D5CDD505-2E9C-101B-9397-08002B2CF9AE}" pid="401" name="FSC#SKEDITIONREG@103.510:jod_sAttrStrNazovPoskodenehoMaje">
    <vt:lpwstr/>
  </property>
  <property fmtid="{D5CDD505-2E9C-101B-9397-08002B2CF9AE}" pid="402" name="FSC#SKEDITIONREG@103.510:jod_sAttrStrNazovTovaru">
    <vt:lpwstr/>
  </property>
  <property fmtid="{D5CDD505-2E9C-101B-9397-08002B2CF9AE}" pid="403" name="FSC#SKEDITIONREG@103.510:jod_sAttrStrNazovZariadenia">
    <vt:lpwstr/>
  </property>
  <property fmtid="{D5CDD505-2E9C-101B-9397-08002B2CF9AE}" pid="404" name="FSC#SKEDITIONREG@103.510:jod_sAttrStrNovaFunkcia">
    <vt:lpwstr/>
  </property>
  <property fmtid="{D5CDD505-2E9C-101B-9397-08002B2CF9AE}" pid="405" name="FSC#SKEDITIONREG@103.510:jod_sAttrStrObjekt">
    <vt:lpwstr/>
  </property>
  <property fmtid="{D5CDD505-2E9C-101B-9397-08002B2CF9AE}" pid="406" name="FSC#SKEDITIONREG@103.510:jod_sAttrStrPozicia">
    <vt:lpwstr/>
  </property>
  <property fmtid="{D5CDD505-2E9C-101B-9397-08002B2CF9AE}" pid="407" name="FSC#SKEDITIONREG@103.510:jod_sAttrStrPredmet">
    <vt:lpwstr/>
  </property>
  <property fmtid="{D5CDD505-2E9C-101B-9397-08002B2CF9AE}" pid="408" name="FSC#SKEDITIONREG@103.510:jod_sAttrStrPredmetDodavky">
    <vt:lpwstr/>
  </property>
  <property fmtid="{D5CDD505-2E9C-101B-9397-08002B2CF9AE}" pid="409" name="FSC#SKEDITIONREG@103.510:jod_sAttrStrPredmetFakturacie">
    <vt:lpwstr/>
  </property>
  <property fmtid="{D5CDD505-2E9C-101B-9397-08002B2CF9AE}" pid="410" name="FSC#SKEDITIONREG@103.510:jod_sAttrStrPredmetObjednavky">
    <vt:lpwstr/>
  </property>
  <property fmtid="{D5CDD505-2E9C-101B-9397-08002B2CF9AE}" pid="411" name="FSC#SKEDITIONREG@103.510:jod_sAttrStrPredmetObstaravania">
    <vt:lpwstr/>
  </property>
  <property fmtid="{D5CDD505-2E9C-101B-9397-08002B2CF9AE}" pid="412" name="FSC#SKEDITIONREG@103.510:jod_sAttrStrPredmetPrevierky">
    <vt:lpwstr/>
  </property>
  <property fmtid="{D5CDD505-2E9C-101B-9397-08002B2CF9AE}" pid="413" name="FSC#SKEDITIONREG@103.510:jod_sAttrStrPredmetZmluvy">
    <vt:lpwstr/>
  </property>
  <property fmtid="{D5CDD505-2E9C-101B-9397-08002B2CF9AE}" pid="414" name="FSC#SKEDITIONREG@103.510:jod_sAttrStrSAF">
    <vt:lpwstr/>
  </property>
  <property fmtid="{D5CDD505-2E9C-101B-9397-08002B2CF9AE}" pid="415" name="FSC#SKEDITIONREG@103.510:jod_sAttrStrSkratkaOUVznikNar">
    <vt:lpwstr/>
  </property>
  <property fmtid="{D5CDD505-2E9C-101B-9397-08002B2CF9AE}" pid="416" name="FSC#SKEDITIONREG@103.510:jod_sAttrStrSkratkaUtvaru">
    <vt:lpwstr/>
  </property>
  <property fmtid="{D5CDD505-2E9C-101B-9397-08002B2CF9AE}" pid="417" name="FSC#SKEDITIONREG@103.510:jod_sAttrStrSplatnost">
    <vt:lpwstr/>
  </property>
  <property fmtid="{D5CDD505-2E9C-101B-9397-08002B2CF9AE}" pid="418" name="FSC#SKEDITIONREG@103.510:jod_sAttrStrSposobPrijatia">
    <vt:lpwstr/>
  </property>
  <property fmtid="{D5CDD505-2E9C-101B-9397-08002B2CF9AE}" pid="419" name="FSC#SKEDITIONREG@103.510:jod_sAttrStrSPZ">
    <vt:lpwstr/>
  </property>
  <property fmtid="{D5CDD505-2E9C-101B-9397-08002B2CF9AE}" pid="420" name="FSC#SKEDITIONREG@103.510:jod_sAttrStrStanoviste">
    <vt:lpwstr/>
  </property>
  <property fmtid="{D5CDD505-2E9C-101B-9397-08002B2CF9AE}" pid="421" name="FSC#SKEDITIONREG@103.510:jod_sAttrStrStav">
    <vt:lpwstr/>
  </property>
  <property fmtid="{D5CDD505-2E9C-101B-9397-08002B2CF9AE}" pid="422" name="FSC#SKEDITIONREG@103.510:jod_sAttrStrStredisko">
    <vt:lpwstr/>
  </property>
  <property fmtid="{D5CDD505-2E9C-101B-9397-08002B2CF9AE}" pid="423" name="FSC#SKEDITIONREG@103.510:jod_sAttrStrSucasnaFunkcia">
    <vt:lpwstr/>
  </property>
  <property fmtid="{D5CDD505-2E9C-101B-9397-08002B2CF9AE}" pid="424" name="FSC#SKEDITIONREG@103.510:jod_sAttrStrTovarPozadujeZam">
    <vt:lpwstr/>
  </property>
  <property fmtid="{D5CDD505-2E9C-101B-9397-08002B2CF9AE}" pid="425" name="FSC#SKEDITIONREG@103.510:jod_sAttrStrTyp">
    <vt:lpwstr/>
  </property>
  <property fmtid="{D5CDD505-2E9C-101B-9397-08002B2CF9AE}" pid="426" name="FSC#SKEDITIONREG@103.510:jod_sAttrStrTypCyklu">
    <vt:lpwstr/>
  </property>
  <property fmtid="{D5CDD505-2E9C-101B-9397-08002B2CF9AE}" pid="427" name="FSC#SKEDITIONREG@103.510:jod_sAttrStrTypMT">
    <vt:lpwstr/>
  </property>
  <property fmtid="{D5CDD505-2E9C-101B-9397-08002B2CF9AE}" pid="428" name="FSC#SKEDITIONREG@103.510:jod_sAttrStrTypVozidla">
    <vt:lpwstr/>
  </property>
  <property fmtid="{D5CDD505-2E9C-101B-9397-08002B2CF9AE}" pid="429" name="FSC#SKEDITIONREG@103.510:jod_sAttrStrUcelPrevierky">
    <vt:lpwstr/>
  </property>
  <property fmtid="{D5CDD505-2E9C-101B-9397-08002B2CF9AE}" pid="430" name="FSC#SKEDITIONREG@103.510:jod_sAttrStrUtvar">
    <vt:lpwstr/>
  </property>
  <property fmtid="{D5CDD505-2E9C-101B-9397-08002B2CF9AE}" pid="431" name="FSC#SKEDITIONREG@103.510:jod_sAttrStrVeduciVysetrTimu">
    <vt:lpwstr/>
  </property>
  <property fmtid="{D5CDD505-2E9C-101B-9397-08002B2CF9AE}" pid="432" name="FSC#SKEDITIONREG@103.510:jod_sAttrStrVydanie">
    <vt:lpwstr/>
  </property>
  <property fmtid="{D5CDD505-2E9C-101B-9397-08002B2CF9AE}" pid="433" name="FSC#SKEDITIONREG@103.510:jod_sAttrStrZamestnanecHlasenie">
    <vt:lpwstr/>
  </property>
  <property fmtid="{D5CDD505-2E9C-101B-9397-08002B2CF9AE}" pid="434" name="FSC#SKEDITIONREG@103.510:jod_sAttrStrZariadenie">
    <vt:lpwstr/>
  </property>
  <property fmtid="{D5CDD505-2E9C-101B-9397-08002B2CF9AE}" pid="435" name="FSC#SKEDITIONREG@103.510:jod_sAttrStrZdrojZistenia">
    <vt:lpwstr/>
  </property>
  <property fmtid="{D5CDD505-2E9C-101B-9397-08002B2CF9AE}" pid="436" name="FSC#SKEDITIONREG@103.510:jod_sAttrStrZmluvaOpravneniePodp">
    <vt:lpwstr/>
  </property>
  <property fmtid="{D5CDD505-2E9C-101B-9397-08002B2CF9AE}" pid="437" name="FSC#SKEDITIONREG@103.510:jod_sAttrStrZnacka">
    <vt:lpwstr/>
  </property>
  <property fmtid="{D5CDD505-2E9C-101B-9397-08002B2CF9AE}" pid="438" name="FSC#SKEDITIONREG@103.510:jod_typ">
    <vt:lpwstr/>
  </property>
  <property fmtid="{D5CDD505-2E9C-101B-9397-08002B2CF9AE}" pid="439" name="FSC#SKEDITIONREG@103.510:jod_zh">
    <vt:lpwstr/>
  </property>
  <property fmtid="{D5CDD505-2E9C-101B-9397-08002B2CF9AE}" pid="440" name="FSC#SKEDITIONREG@103.510:jod_zmluvnacena">
    <vt:lpwstr/>
  </property>
  <property fmtid="{D5CDD505-2E9C-101B-9397-08002B2CF9AE}" pid="441" name="FSC#SKEDITIONREG@103.510:jod_zmluvnacenasdodatkami">
    <vt:lpwstr/>
  </property>
  <property fmtid="{D5CDD505-2E9C-101B-9397-08002B2CF9AE}" pid="442" name="FSC#SKEDITIONREG@103.510:jod_sAttrPtrOrgUtvar">
    <vt:lpwstr/>
  </property>
  <property fmtid="{D5CDD505-2E9C-101B-9397-08002B2CF9AE}" pid="443" name="FSC#SKEDITIONREG@103.510:jod_sAttrPtrOrgUtvarFAX">
    <vt:lpwstr/>
  </property>
  <property fmtid="{D5CDD505-2E9C-101B-9397-08002B2CF9AE}" pid="444" name="FSC#SKEDITIONREG@103.510:jod_sAttrPtrOrgUtvarVED">
    <vt:lpwstr/>
  </property>
  <property fmtid="{D5CDD505-2E9C-101B-9397-08002B2CF9AE}" pid="445" name="FSC#SKEDITIONREG@103.510:jod_sAttrPtrZamestnanec">
    <vt:lpwstr/>
  </property>
  <property fmtid="{D5CDD505-2E9C-101B-9397-08002B2CF9AE}" pid="446" name="FSC#SKEDITIONREG@103.510:jod_sAttrPtrZamestnanecFNC">
    <vt:lpwstr/>
  </property>
  <property fmtid="{D5CDD505-2E9C-101B-9397-08002B2CF9AE}" pid="447" name="FSC#SKEDITIONREG@103.510:jod_sAttrPtrZamestnanecTEL">
    <vt:lpwstr/>
  </property>
  <property fmtid="{D5CDD505-2E9C-101B-9397-08002B2CF9AE}" pid="448" name="FSC#SKEDITIONREG@103.510:jod_sAttrPtrZamestnanecOSC">
    <vt:lpwstr/>
  </property>
  <property fmtid="{D5CDD505-2E9C-101B-9397-08002B2CF9AE}" pid="449" name="FSC#SKEDITIONREG@103.510:jod_sAttrPtrZamestnanecEML">
    <vt:lpwstr/>
  </property>
  <property fmtid="{D5CDD505-2E9C-101B-9397-08002B2CF9AE}" pid="450" name="FSC#SKEDITIONREG@103.510:jod_sAttrPtrZamestnanecOU">
    <vt:lpwstr/>
  </property>
  <property fmtid="{D5CDD505-2E9C-101B-9397-08002B2CF9AE}" pid="451" name="FSC#SKEDITIONREG@103.510:jod_AttrStrICODodavatela">
    <vt:lpwstr/>
  </property>
  <property fmtid="{D5CDD505-2E9C-101B-9397-08002B2CF9AE}" pid="452" name="FSC#SKEDITIONREG@103.510:jod_AttrDateSchvalenie">
    <vt:lpwstr/>
  </property>
  <property fmtid="{D5CDD505-2E9C-101B-9397-08002B2CF9AE}" pid="453" name="FSC#SKEDITIONREG@103.510:a_telephone">
    <vt:lpwstr/>
  </property>
  <property fmtid="{D5CDD505-2E9C-101B-9397-08002B2CF9AE}" pid="454" name="FSC#SKEDITIONREG@103.510:a_email">
    <vt:lpwstr/>
  </property>
  <property fmtid="{D5CDD505-2E9C-101B-9397-08002B2CF9AE}" pid="455" name="FSC#SKEDITIONREG@103.510:a_nazovOU">
    <vt:lpwstr/>
  </property>
  <property fmtid="{D5CDD505-2E9C-101B-9397-08002B2CF9AE}" pid="456" name="FSC#SKEDITIONREG@103.510:a_veduciOU">
    <vt:lpwstr/>
  </property>
  <property fmtid="{D5CDD505-2E9C-101B-9397-08002B2CF9AE}" pid="457" name="FSC#SKEDITIONREG@103.510:a_nadradeneOU">
    <vt:lpwstr/>
  </property>
  <property fmtid="{D5CDD505-2E9C-101B-9397-08002B2CF9AE}" pid="458" name="FSC#SKEDITIONREG@103.510:a_veduciOd">
    <vt:lpwstr/>
  </property>
  <property fmtid="{D5CDD505-2E9C-101B-9397-08002B2CF9AE}" pid="459" name="FSC#SKEDITIONREG@103.510:a_komu">
    <vt:lpwstr/>
  </property>
  <property fmtid="{D5CDD505-2E9C-101B-9397-08002B2CF9AE}" pid="460" name="FSC#SKEDITIONREG@103.510:a_nasecislo">
    <vt:lpwstr/>
  </property>
  <property fmtid="{D5CDD505-2E9C-101B-9397-08002B2CF9AE}" pid="461" name="FSC#SKEDITIONREG@103.510:a_riaditelOdboru">
    <vt:lpwstr/>
  </property>
  <property fmtid="{D5CDD505-2E9C-101B-9397-08002B2CF9AE}" pid="462" name="FSC#SKMODSYS@103.500:mdnazov">
    <vt:lpwstr/>
  </property>
  <property fmtid="{D5CDD505-2E9C-101B-9397-08002B2CF9AE}" pid="463" name="FSC#SKMODSYS@103.500:mdfileresp">
    <vt:lpwstr/>
  </property>
  <property fmtid="{D5CDD505-2E9C-101B-9397-08002B2CF9AE}" pid="464" name="FSC#SKMODSYS@103.500:mdfileresporg">
    <vt:lpwstr/>
  </property>
  <property fmtid="{D5CDD505-2E9C-101B-9397-08002B2CF9AE}" pid="465" name="FSC#SKMODSYS@103.500:mdcreateat">
    <vt:lpwstr>23. 11. 2016</vt:lpwstr>
  </property>
  <property fmtid="{D5CDD505-2E9C-101B-9397-08002B2CF9AE}" pid="466" name="FSC#SKCP@103.500:cp_AttrPtrOrgUtvar">
    <vt:lpwstr/>
  </property>
  <property fmtid="{D5CDD505-2E9C-101B-9397-08002B2CF9AE}" pid="467" name="FSC#SKCP@103.500:cp_AttrStrEvCisloCP">
    <vt:lpwstr> </vt:lpwstr>
  </property>
  <property fmtid="{D5CDD505-2E9C-101B-9397-08002B2CF9AE}" pid="468" name="FSC#SKCP@103.500:cp_zamestnanec">
    <vt:lpwstr/>
  </property>
  <property fmtid="{D5CDD505-2E9C-101B-9397-08002B2CF9AE}" pid="469" name="FSC#SKCP@103.500:cpt_miestoRokovania">
    <vt:lpwstr/>
  </property>
  <property fmtid="{D5CDD505-2E9C-101B-9397-08002B2CF9AE}" pid="470" name="FSC#SKCP@103.500:cpt_datumCesty">
    <vt:lpwstr/>
  </property>
  <property fmtid="{D5CDD505-2E9C-101B-9397-08002B2CF9AE}" pid="471" name="FSC#SKCP@103.500:cpt_ucelCesty">
    <vt:lpwstr/>
  </property>
  <property fmtid="{D5CDD505-2E9C-101B-9397-08002B2CF9AE}" pid="472" name="FSC#SKCP@103.500:cpz_miestoRokovania">
    <vt:lpwstr/>
  </property>
  <property fmtid="{D5CDD505-2E9C-101B-9397-08002B2CF9AE}" pid="473" name="FSC#SKCP@103.500:cpz_datumCesty">
    <vt:lpwstr> - </vt:lpwstr>
  </property>
  <property fmtid="{D5CDD505-2E9C-101B-9397-08002B2CF9AE}" pid="474" name="FSC#SKCP@103.500:cpz_ucelCesty">
    <vt:lpwstr/>
  </property>
  <property fmtid="{D5CDD505-2E9C-101B-9397-08002B2CF9AE}" pid="475" name="FSC#SKCP@103.500:cpz_datumVypracovania">
    <vt:lpwstr/>
  </property>
  <property fmtid="{D5CDD505-2E9C-101B-9397-08002B2CF9AE}" pid="476" name="FSC#SKCP@103.500:cpz_datPodpSchv1">
    <vt:lpwstr/>
  </property>
  <property fmtid="{D5CDD505-2E9C-101B-9397-08002B2CF9AE}" pid="477" name="FSC#SKCP@103.500:cpz_datPodpSchv2">
    <vt:lpwstr/>
  </property>
  <property fmtid="{D5CDD505-2E9C-101B-9397-08002B2CF9AE}" pid="478" name="FSC#SKCP@103.500:cpz_datPodpSchv3">
    <vt:lpwstr/>
  </property>
  <property fmtid="{D5CDD505-2E9C-101B-9397-08002B2CF9AE}" pid="479" name="FSC#SKCP@103.500:cpz_PodpSchv1">
    <vt:lpwstr/>
  </property>
  <property fmtid="{D5CDD505-2E9C-101B-9397-08002B2CF9AE}" pid="480" name="FSC#SKCP@103.500:cpz_PodpSchv2">
    <vt:lpwstr/>
  </property>
  <property fmtid="{D5CDD505-2E9C-101B-9397-08002B2CF9AE}" pid="481" name="FSC#SKCP@103.500:cpz_PodpSchv3">
    <vt:lpwstr/>
  </property>
  <property fmtid="{D5CDD505-2E9C-101B-9397-08002B2CF9AE}" pid="482" name="FSC#SKCP@103.500:cpz_Funkcia">
    <vt:lpwstr/>
  </property>
  <property fmtid="{D5CDD505-2E9C-101B-9397-08002B2CF9AE}" pid="483" name="FSC#SKCP@103.500:cp_Spolucestujuci">
    <vt:lpwstr/>
  </property>
  <property fmtid="{D5CDD505-2E9C-101B-9397-08002B2CF9AE}" pid="484" name="FSC#SKNAD@103.500:nad_objname">
    <vt:lpwstr/>
  </property>
  <property fmtid="{D5CDD505-2E9C-101B-9397-08002B2CF9AE}" pid="485" name="FSC#SKNAD@103.500:nad_AttrStrNazov">
    <vt:lpwstr/>
  </property>
  <property fmtid="{D5CDD505-2E9C-101B-9397-08002B2CF9AE}" pid="486" name="FSC#SKNAD@103.500:nad_AttrPtrSpracovatel">
    <vt:lpwstr/>
  </property>
  <property fmtid="{D5CDD505-2E9C-101B-9397-08002B2CF9AE}" pid="487" name="FSC#SKNAD@103.500:nad_AttrPtrGestor1">
    <vt:lpwstr/>
  </property>
  <property fmtid="{D5CDD505-2E9C-101B-9397-08002B2CF9AE}" pid="488" name="FSC#SKNAD@103.500:nad_AttrPtrGestor1Funkcia">
    <vt:lpwstr/>
  </property>
  <property fmtid="{D5CDD505-2E9C-101B-9397-08002B2CF9AE}" pid="489" name="FSC#SKNAD@103.500:nad_AttrPtrGestor1OU">
    <vt:lpwstr/>
  </property>
  <property fmtid="{D5CDD505-2E9C-101B-9397-08002B2CF9AE}" pid="490" name="FSC#SKNAD@103.500:nad_AttrPtrGestor2">
    <vt:lpwstr/>
  </property>
  <property fmtid="{D5CDD505-2E9C-101B-9397-08002B2CF9AE}" pid="491" name="FSC#SKNAD@103.500:nad_AttrPtrGestor2Funkcia">
    <vt:lpwstr/>
  </property>
  <property fmtid="{D5CDD505-2E9C-101B-9397-08002B2CF9AE}" pid="492" name="FSC#SKNAD@103.500:nad_schvalil">
    <vt:lpwstr/>
  </property>
  <property fmtid="{D5CDD505-2E9C-101B-9397-08002B2CF9AE}" pid="493" name="FSC#SKNAD@103.500:nad_schvalilfunkcia">
    <vt:lpwstr/>
  </property>
  <property fmtid="{D5CDD505-2E9C-101B-9397-08002B2CF9AE}" pid="494" name="FSC#SKNAD@103.500:nad_vr">
    <vt:lpwstr/>
  </property>
  <property fmtid="{D5CDD505-2E9C-101B-9397-08002B2CF9AE}" pid="495" name="FSC#SKNAD@103.500:nad_AttrDateDatumPodpisania">
    <vt:lpwstr/>
  </property>
  <property fmtid="{D5CDD505-2E9C-101B-9397-08002B2CF9AE}" pid="496" name="FSC#SKNAD@103.500:nad_pripobjname">
    <vt:lpwstr/>
  </property>
  <property fmtid="{D5CDD505-2E9C-101B-9397-08002B2CF9AE}" pid="497" name="FSC#SKNAD@103.500:nad_pripVytvorilKto">
    <vt:lpwstr/>
  </property>
  <property fmtid="{D5CDD505-2E9C-101B-9397-08002B2CF9AE}" pid="498" name="FSC#SKNAD@103.500:nad_pripVytvorilKedy">
    <vt:lpwstr>23.11.2016, 16:20</vt:lpwstr>
  </property>
  <property fmtid="{D5CDD505-2E9C-101B-9397-08002B2CF9AE}" pid="499" name="FSC#SKNAD@103.500:nad_AttrStrCisloNA">
    <vt:lpwstr/>
  </property>
  <property fmtid="{D5CDD505-2E9C-101B-9397-08002B2CF9AE}" pid="500" name="FSC#SKNAD@103.500:nad_AttrDateUcinnaOd">
    <vt:lpwstr/>
  </property>
  <property fmtid="{D5CDD505-2E9C-101B-9397-08002B2CF9AE}" pid="501" name="FSC#SKNAD@103.500:nad_AttrDateUcinnaDo">
    <vt:lpwstr/>
  </property>
  <property fmtid="{D5CDD505-2E9C-101B-9397-08002B2CF9AE}" pid="502" name="FSC#SKNAD@103.500:nad_AttrPtrPredchadzajuceNA">
    <vt:lpwstr/>
  </property>
  <property fmtid="{D5CDD505-2E9C-101B-9397-08002B2CF9AE}" pid="503" name="FSC#SKNAD@103.500:nad_AttrPtrSpracovatelOU">
    <vt:lpwstr/>
  </property>
  <property fmtid="{D5CDD505-2E9C-101B-9397-08002B2CF9AE}" pid="504" name="FSC#SKNAD@103.500:nad_AttrPtrPatriKNA">
    <vt:lpwstr/>
  </property>
  <property fmtid="{D5CDD505-2E9C-101B-9397-08002B2CF9AE}" pid="505" name="FSC#SKNAD@103.500:nad_AttrIntCisloDodatku">
    <vt:lpwstr/>
  </property>
  <property fmtid="{D5CDD505-2E9C-101B-9397-08002B2CF9AE}" pid="506" name="FSC#SKNAD@103.500:nad_AttrPtrSpracVeduci">
    <vt:lpwstr/>
  </property>
  <property fmtid="{D5CDD505-2E9C-101B-9397-08002B2CF9AE}" pid="507" name="FSC#SKNAD@103.500:nad_AttrPtrSpracVeduciOU">
    <vt:lpwstr/>
  </property>
  <property fmtid="{D5CDD505-2E9C-101B-9397-08002B2CF9AE}" pid="508" name="FSC#SKNAD@103.500:nad_spis">
    <vt:lpwstr/>
  </property>
  <property fmtid="{D5CDD505-2E9C-101B-9397-08002B2CF9AE}" pid="509" name="FSC#SKPUPP@103.500:pupp_riaditelPorady">
    <vt:lpwstr/>
  </property>
  <property fmtid="{D5CDD505-2E9C-101B-9397-08002B2CF9AE}" pid="510" name="FSC#SKPUPP@103.500:pupp_cisloporady">
    <vt:lpwstr/>
  </property>
  <property fmtid="{D5CDD505-2E9C-101B-9397-08002B2CF9AE}" pid="511" name="FSC#SKPUPP@103.500:pupp_konanieOHodine">
    <vt:lpwstr/>
  </property>
  <property fmtid="{D5CDD505-2E9C-101B-9397-08002B2CF9AE}" pid="512" name="FSC#SKPUPP@103.500:pupp_datPorMesiacString">
    <vt:lpwstr/>
  </property>
  <property fmtid="{D5CDD505-2E9C-101B-9397-08002B2CF9AE}" pid="513" name="FSC#SKPUPP@103.500:pupp_datumporady">
    <vt:lpwstr/>
  </property>
  <property fmtid="{D5CDD505-2E9C-101B-9397-08002B2CF9AE}" pid="514" name="FSC#SKPUPP@103.500:pupp_konaniedo">
    <vt:lpwstr/>
  </property>
  <property fmtid="{D5CDD505-2E9C-101B-9397-08002B2CF9AE}" pid="515" name="FSC#SKPUPP@103.500:pupp_konanieod">
    <vt:lpwstr/>
  </property>
  <property fmtid="{D5CDD505-2E9C-101B-9397-08002B2CF9AE}" pid="516" name="FSC#SKPUPP@103.500:pupp_menopp">
    <vt:lpwstr/>
  </property>
  <property fmtid="{D5CDD505-2E9C-101B-9397-08002B2CF9AE}" pid="517" name="FSC#SKPUPP@103.500:pupp_miestokonania">
    <vt:lpwstr/>
  </property>
  <property fmtid="{D5CDD505-2E9C-101B-9397-08002B2CF9AE}" pid="518" name="FSC#SKPUPP@103.500:pupp_temaporady">
    <vt:lpwstr/>
  </property>
  <property fmtid="{D5CDD505-2E9C-101B-9397-08002B2CF9AE}" pid="519" name="FSC#SKPUPP@103.500:pupp_ucastnici">
    <vt:lpwstr/>
  </property>
  <property fmtid="{D5CDD505-2E9C-101B-9397-08002B2CF9AE}" pid="520" name="FSC#SKPUPP@103.500:pupp_ulohy">
    <vt:lpwstr>test</vt:lpwstr>
  </property>
  <property fmtid="{D5CDD505-2E9C-101B-9397-08002B2CF9AE}" pid="521" name="FSC#SKPUPP@103.500:pupp_ucastnici_funkcie">
    <vt:lpwstr/>
  </property>
  <property fmtid="{D5CDD505-2E9C-101B-9397-08002B2CF9AE}" pid="522" name="FSC#SKPUPP@103.500:pupp_nazov_ulohy">
    <vt:lpwstr/>
  </property>
  <property fmtid="{D5CDD505-2E9C-101B-9397-08002B2CF9AE}" pid="523" name="FSC#SKPUPP@103.500:pupp_cislo_ulohy">
    <vt:lpwstr/>
  </property>
  <property fmtid="{D5CDD505-2E9C-101B-9397-08002B2CF9AE}" pid="524" name="FSC#SKPUPP@103.500:pupp_riesitel_ulohy">
    <vt:lpwstr/>
  </property>
  <property fmtid="{D5CDD505-2E9C-101B-9397-08002B2CF9AE}" pid="525" name="FSC#SKPUPP@103.500:pupp_vybavit_ulohy">
    <vt:lpwstr/>
  </property>
  <property fmtid="{D5CDD505-2E9C-101B-9397-08002B2CF9AE}" pid="526" name="FSC#SKPUPP@103.500:pupp_orgutvar">
    <vt:lpwstr/>
  </property>
  <property fmtid="{D5CDD505-2E9C-101B-9397-08002B2CF9AE}" pid="527" name="FSC#COOELAK@1.1001:Subject">
    <vt:lpwstr/>
  </property>
  <property fmtid="{D5CDD505-2E9C-101B-9397-08002B2CF9AE}" pid="528" name="FSC#COOELAK@1.1001:FileReference">
    <vt:lpwstr/>
  </property>
  <property fmtid="{D5CDD505-2E9C-101B-9397-08002B2CF9AE}" pid="529" name="FSC#COOELAK@1.1001:FileRefYear">
    <vt:lpwstr/>
  </property>
  <property fmtid="{D5CDD505-2E9C-101B-9397-08002B2CF9AE}" pid="530" name="FSC#COOELAK@1.1001:FileRefOrdinal">
    <vt:lpwstr/>
  </property>
  <property fmtid="{D5CDD505-2E9C-101B-9397-08002B2CF9AE}" pid="531" name="FSC#COOELAK@1.1001:FileRefOU">
    <vt:lpwstr/>
  </property>
  <property fmtid="{D5CDD505-2E9C-101B-9397-08002B2CF9AE}" pid="532" name="FSC#COOELAK@1.1001:Organization">
    <vt:lpwstr/>
  </property>
  <property fmtid="{D5CDD505-2E9C-101B-9397-08002B2CF9AE}" pid="533" name="FSC#COOELAK@1.1001:Owner">
    <vt:lpwstr>Mikulová, Andrea, Ing.</vt:lpwstr>
  </property>
  <property fmtid="{D5CDD505-2E9C-101B-9397-08002B2CF9AE}" pid="534" name="FSC#COOELAK@1.1001:OwnerExtension">
    <vt:lpwstr/>
  </property>
  <property fmtid="{D5CDD505-2E9C-101B-9397-08002B2CF9AE}" pid="535" name="FSC#COOELAK@1.1001:OwnerFaxExtension">
    <vt:lpwstr/>
  </property>
  <property fmtid="{D5CDD505-2E9C-101B-9397-08002B2CF9AE}" pid="536" name="FSC#COOELAK@1.1001:DispatchedBy">
    <vt:lpwstr/>
  </property>
  <property fmtid="{D5CDD505-2E9C-101B-9397-08002B2CF9AE}" pid="537" name="FSC#COOELAK@1.1001:DispatchedAt">
    <vt:lpwstr/>
  </property>
  <property fmtid="{D5CDD505-2E9C-101B-9397-08002B2CF9AE}" pid="538" name="FSC#COOELAK@1.1001:ApprovedBy">
    <vt:lpwstr/>
  </property>
  <property fmtid="{D5CDD505-2E9C-101B-9397-08002B2CF9AE}" pid="539" name="FSC#COOELAK@1.1001:ApprovedAt">
    <vt:lpwstr/>
  </property>
  <property fmtid="{D5CDD505-2E9C-101B-9397-08002B2CF9AE}" pid="540" name="FSC#COOELAK@1.1001:Department">
    <vt:lpwstr>3420 (Odbor podnikateľského prostredia)</vt:lpwstr>
  </property>
  <property fmtid="{D5CDD505-2E9C-101B-9397-08002B2CF9AE}" pid="541" name="FSC#COOELAK@1.1001:CreatedAt">
    <vt:lpwstr>23.11.2016</vt:lpwstr>
  </property>
  <property fmtid="{D5CDD505-2E9C-101B-9397-08002B2CF9AE}" pid="542" name="FSC#COOELAK@1.1001:OU">
    <vt:lpwstr>3420 (Odbor podnikateľského prostredia)</vt:lpwstr>
  </property>
  <property fmtid="{D5CDD505-2E9C-101B-9397-08002B2CF9AE}" pid="543" name="FSC#COOELAK@1.1001:Priority">
    <vt:lpwstr> ()</vt:lpwstr>
  </property>
  <property fmtid="{D5CDD505-2E9C-101B-9397-08002B2CF9AE}" pid="544" name="FSC#COOELAK@1.1001:ObjBarCode">
    <vt:lpwstr>*COO.2163.100.2.2911301*</vt:lpwstr>
  </property>
  <property fmtid="{D5CDD505-2E9C-101B-9397-08002B2CF9AE}" pid="545" name="FSC#COOELAK@1.1001:RefBarCode">
    <vt:lpwstr/>
  </property>
  <property fmtid="{D5CDD505-2E9C-101B-9397-08002B2CF9AE}" pid="546" name="FSC#COOELAK@1.1001:FileRefBarCode">
    <vt:lpwstr>**</vt:lpwstr>
  </property>
  <property fmtid="{D5CDD505-2E9C-101B-9397-08002B2CF9AE}" pid="547" name="FSC#COOELAK@1.1001:ExternalRef">
    <vt:lpwstr/>
  </property>
  <property fmtid="{D5CDD505-2E9C-101B-9397-08002B2CF9AE}" pid="548" name="FSC#COOELAK@1.1001:IncomingNumber">
    <vt:lpwstr/>
  </property>
  <property fmtid="{D5CDD505-2E9C-101B-9397-08002B2CF9AE}" pid="549" name="FSC#COOELAK@1.1001:IncomingSubject">
    <vt:lpwstr/>
  </property>
  <property fmtid="{D5CDD505-2E9C-101B-9397-08002B2CF9AE}" pid="550" name="FSC#COOELAK@1.1001:ProcessResponsible">
    <vt:lpwstr/>
  </property>
  <property fmtid="{D5CDD505-2E9C-101B-9397-08002B2CF9AE}" pid="551" name="FSC#COOELAK@1.1001:ProcessResponsiblePhone">
    <vt:lpwstr/>
  </property>
  <property fmtid="{D5CDD505-2E9C-101B-9397-08002B2CF9AE}" pid="552" name="FSC#COOELAK@1.1001:ProcessResponsibleMail">
    <vt:lpwstr/>
  </property>
  <property fmtid="{D5CDD505-2E9C-101B-9397-08002B2CF9AE}" pid="553" name="FSC#COOELAK@1.1001:ProcessResponsibleFax">
    <vt:lpwstr/>
  </property>
  <property fmtid="{D5CDD505-2E9C-101B-9397-08002B2CF9AE}" pid="554" name="FSC#COOELAK@1.1001:ApproverFirstName">
    <vt:lpwstr/>
  </property>
  <property fmtid="{D5CDD505-2E9C-101B-9397-08002B2CF9AE}" pid="555" name="FSC#COOELAK@1.1001:ApproverSurName">
    <vt:lpwstr/>
  </property>
  <property fmtid="{D5CDD505-2E9C-101B-9397-08002B2CF9AE}" pid="556" name="FSC#COOELAK@1.1001:ApproverTitle">
    <vt:lpwstr/>
  </property>
  <property fmtid="{D5CDD505-2E9C-101B-9397-08002B2CF9AE}" pid="557" name="FSC#COOELAK@1.1001:ExternalDate">
    <vt:lpwstr/>
  </property>
  <property fmtid="{D5CDD505-2E9C-101B-9397-08002B2CF9AE}" pid="558" name="FSC#COOELAK@1.1001:SettlementApprovedAt">
    <vt:lpwstr/>
  </property>
  <property fmtid="{D5CDD505-2E9C-101B-9397-08002B2CF9AE}" pid="559" name="FSC#COOELAK@1.1001:BaseNumber">
    <vt:lpwstr/>
  </property>
  <property fmtid="{D5CDD505-2E9C-101B-9397-08002B2CF9AE}" pid="560" name="FSC#COOELAK@1.1001:CurrentUserRolePos">
    <vt:lpwstr>referent 11</vt:lpwstr>
  </property>
  <property fmtid="{D5CDD505-2E9C-101B-9397-08002B2CF9AE}" pid="561" name="FSC#COOELAK@1.1001:CurrentUserEmail">
    <vt:lpwstr>andrea.mikulova@mhsr.sk</vt:lpwstr>
  </property>
  <property fmtid="{D5CDD505-2E9C-101B-9397-08002B2CF9AE}" pid="562" name="FSC#ELAKGOV@1.1001:PersonalSubjGender">
    <vt:lpwstr/>
  </property>
  <property fmtid="{D5CDD505-2E9C-101B-9397-08002B2CF9AE}" pid="563" name="FSC#ELAKGOV@1.1001:PersonalSubjFirstName">
    <vt:lpwstr/>
  </property>
  <property fmtid="{D5CDD505-2E9C-101B-9397-08002B2CF9AE}" pid="564" name="FSC#ELAKGOV@1.1001:PersonalSubjSurName">
    <vt:lpwstr/>
  </property>
  <property fmtid="{D5CDD505-2E9C-101B-9397-08002B2CF9AE}" pid="565" name="FSC#ELAKGOV@1.1001:PersonalSubjSalutation">
    <vt:lpwstr/>
  </property>
  <property fmtid="{D5CDD505-2E9C-101B-9397-08002B2CF9AE}" pid="566" name="FSC#ELAKGOV@1.1001:PersonalSubjAddress">
    <vt:lpwstr/>
  </property>
  <property fmtid="{D5CDD505-2E9C-101B-9397-08002B2CF9AE}" pid="567" name="FSC#ATSTATECFG@1.1001:Office">
    <vt:lpwstr/>
  </property>
  <property fmtid="{D5CDD505-2E9C-101B-9397-08002B2CF9AE}" pid="568" name="FSC#ATSTATECFG@1.1001:Agent">
    <vt:lpwstr/>
  </property>
  <property fmtid="{D5CDD505-2E9C-101B-9397-08002B2CF9AE}" pid="569" name="FSC#ATSTATECFG@1.1001:AgentPhone">
    <vt:lpwstr/>
  </property>
  <property fmtid="{D5CDD505-2E9C-101B-9397-08002B2CF9AE}" pid="570" name="FSC#ATSTATECFG@1.1001:DepartmentFax">
    <vt:lpwstr/>
  </property>
  <property fmtid="{D5CDD505-2E9C-101B-9397-08002B2CF9AE}" pid="571" name="FSC#ATSTATECFG@1.1001:DepartmentEmail">
    <vt:lpwstr/>
  </property>
  <property fmtid="{D5CDD505-2E9C-101B-9397-08002B2CF9AE}" pid="572" name="FSC#ATSTATECFG@1.1001:SubfileDate">
    <vt:lpwstr/>
  </property>
  <property fmtid="{D5CDD505-2E9C-101B-9397-08002B2CF9AE}" pid="573" name="FSC#ATSTATECFG@1.1001:SubfileSubject">
    <vt:lpwstr/>
  </property>
  <property fmtid="{D5CDD505-2E9C-101B-9397-08002B2CF9AE}" pid="574" name="FSC#ATSTATECFG@1.1001:DepartmentZipCode">
    <vt:lpwstr/>
  </property>
  <property fmtid="{D5CDD505-2E9C-101B-9397-08002B2CF9AE}" pid="575" name="FSC#ATSTATECFG@1.1001:DepartmentCountry">
    <vt:lpwstr/>
  </property>
  <property fmtid="{D5CDD505-2E9C-101B-9397-08002B2CF9AE}" pid="576" name="FSC#ATSTATECFG@1.1001:DepartmentCity">
    <vt:lpwstr/>
  </property>
  <property fmtid="{D5CDD505-2E9C-101B-9397-08002B2CF9AE}" pid="577" name="FSC#ATSTATECFG@1.1001:DepartmentStreet">
    <vt:lpwstr/>
  </property>
  <property fmtid="{D5CDD505-2E9C-101B-9397-08002B2CF9AE}" pid="578" name="FSC#ATSTATECFG@1.1001:DepartmentDVR">
    <vt:lpwstr/>
  </property>
  <property fmtid="{D5CDD505-2E9C-101B-9397-08002B2CF9AE}" pid="579" name="FSC#ATSTATECFG@1.1001:DepartmentUID">
    <vt:lpwstr/>
  </property>
  <property fmtid="{D5CDD505-2E9C-101B-9397-08002B2CF9AE}" pid="580" name="FSC#ATSTATECFG@1.1001:SubfileReference">
    <vt:lpwstr/>
  </property>
  <property fmtid="{D5CDD505-2E9C-101B-9397-08002B2CF9AE}" pid="581" name="FSC#ATSTATECFG@1.1001:Clause">
    <vt:lpwstr/>
  </property>
  <property fmtid="{D5CDD505-2E9C-101B-9397-08002B2CF9AE}" pid="582" name="FSC#ATSTATECFG@1.1001:ApprovedSignature">
    <vt:lpwstr/>
  </property>
  <property fmtid="{D5CDD505-2E9C-101B-9397-08002B2CF9AE}" pid="583" name="FSC#ATSTATECFG@1.1001:BankAccount">
    <vt:lpwstr/>
  </property>
  <property fmtid="{D5CDD505-2E9C-101B-9397-08002B2CF9AE}" pid="584" name="FSC#ATSTATECFG@1.1001:BankAccountOwner">
    <vt:lpwstr/>
  </property>
  <property fmtid="{D5CDD505-2E9C-101B-9397-08002B2CF9AE}" pid="585" name="FSC#ATSTATECFG@1.1001:BankInstitute">
    <vt:lpwstr/>
  </property>
  <property fmtid="{D5CDD505-2E9C-101B-9397-08002B2CF9AE}" pid="586" name="FSC#ATSTATECFG@1.1001:BankAccountID">
    <vt:lpwstr/>
  </property>
  <property fmtid="{D5CDD505-2E9C-101B-9397-08002B2CF9AE}" pid="587" name="FSC#ATSTATECFG@1.1001:BankAccountIBAN">
    <vt:lpwstr/>
  </property>
  <property fmtid="{D5CDD505-2E9C-101B-9397-08002B2CF9AE}" pid="588" name="FSC#ATSTATECFG@1.1001:BankAccountBIC">
    <vt:lpwstr/>
  </property>
  <property fmtid="{D5CDD505-2E9C-101B-9397-08002B2CF9AE}" pid="589" name="FSC#ATSTATECFG@1.1001:BankName">
    <vt:lpwstr/>
  </property>
  <property fmtid="{D5CDD505-2E9C-101B-9397-08002B2CF9AE}" pid="590" name="FSC#COOSYSTEM@1.1:Container">
    <vt:lpwstr>COO.2163.100.2.2911301</vt:lpwstr>
  </property>
  <property fmtid="{D5CDD505-2E9C-101B-9397-08002B2CF9AE}" pid="591" name="FSC#FSCFOLIO@1.1001:docpropproject">
    <vt:lpwstr/>
  </property>
  <property fmtid="{D5CDD505-2E9C-101B-9397-08002B2CF9AE}" pid="592" name="ContentTypeId">
    <vt:lpwstr>0x0101006C0C8C3C1E3DCC44BECE3792677AD011</vt:lpwstr>
  </property>
  <property fmtid="{D5CDD505-2E9C-101B-9397-08002B2CF9AE}" pid="593" name="_dlc_DocIdItemGuid">
    <vt:lpwstr>f4e9f44b-d99c-4906-bbf6-767d65f381cf</vt:lpwstr>
  </property>
</Properties>
</file>